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15C" w:rsidRDefault="00A0515C" w:rsidP="00A0515C">
      <w:pPr>
        <w:shd w:val="clear" w:color="auto" w:fill="FFFFFF"/>
        <w:spacing w:after="0" w:line="450" w:lineRule="atLeast"/>
        <w:jc w:val="center"/>
        <w:textAlignment w:val="baseline"/>
        <w:rPr>
          <w:rFonts w:eastAsia="Times New Roman" w:cstheme="minorHAnsi"/>
          <w:b/>
          <w:caps/>
          <w:color w:val="488E9A"/>
          <w:sz w:val="30"/>
          <w:szCs w:val="30"/>
          <w:lang w:eastAsia="es-AR"/>
        </w:rPr>
      </w:pPr>
      <w:r w:rsidRPr="00A0515C">
        <w:rPr>
          <w:rFonts w:eastAsia="Times New Roman" w:cstheme="minorHAnsi"/>
          <w:b/>
          <w:caps/>
          <w:color w:val="488E9A"/>
          <w:sz w:val="30"/>
          <w:szCs w:val="30"/>
          <w:lang w:eastAsia="es-AR"/>
        </w:rPr>
        <w:t xml:space="preserve">La fibrilación auricular aumenta el riesgo de ACV </w:t>
      </w:r>
    </w:p>
    <w:p w:rsidR="00A0515C" w:rsidRPr="00A0515C" w:rsidRDefault="00A0515C" w:rsidP="00A0515C">
      <w:pPr>
        <w:shd w:val="clear" w:color="auto" w:fill="FFFFFF"/>
        <w:spacing w:after="0" w:line="450" w:lineRule="atLeast"/>
        <w:jc w:val="center"/>
        <w:textAlignment w:val="baseline"/>
        <w:rPr>
          <w:rFonts w:eastAsia="Times New Roman" w:cstheme="minorHAnsi"/>
          <w:b/>
          <w:caps/>
          <w:color w:val="488E9A"/>
          <w:sz w:val="30"/>
          <w:szCs w:val="30"/>
          <w:lang w:eastAsia="es-AR"/>
        </w:rPr>
      </w:pPr>
      <w:bookmarkStart w:id="0" w:name="_GoBack"/>
      <w:bookmarkEnd w:id="0"/>
      <w:r w:rsidRPr="00A0515C">
        <w:rPr>
          <w:rFonts w:eastAsia="Times New Roman" w:cstheme="minorHAnsi"/>
          <w:b/>
          <w:caps/>
          <w:color w:val="488E9A"/>
          <w:sz w:val="30"/>
          <w:szCs w:val="30"/>
          <w:lang w:eastAsia="es-AR"/>
        </w:rPr>
        <w:t>según estudio desarrollado por la FAC</w:t>
      </w:r>
    </w:p>
    <w:p w:rsidR="00A0515C" w:rsidRPr="00A0515C" w:rsidRDefault="00A0515C" w:rsidP="00A0515C">
      <w:pPr>
        <w:spacing w:after="0" w:line="240" w:lineRule="auto"/>
        <w:rPr>
          <w:rFonts w:eastAsia="Times New Roman" w:cstheme="minorHAnsi"/>
          <w:sz w:val="24"/>
          <w:szCs w:val="24"/>
          <w:lang w:eastAsia="es-AR"/>
        </w:rPr>
      </w:pPr>
    </w:p>
    <w:p w:rsidR="00A0515C" w:rsidRPr="00A0515C" w:rsidRDefault="00A0515C" w:rsidP="00A0515C">
      <w:pPr>
        <w:shd w:val="clear" w:color="auto" w:fill="FFFFFF"/>
        <w:spacing w:after="0" w:line="315" w:lineRule="atLeast"/>
        <w:textAlignment w:val="baseline"/>
        <w:rPr>
          <w:rFonts w:eastAsia="Times New Roman" w:cstheme="minorHAnsi"/>
          <w:caps/>
          <w:color w:val="304D56"/>
          <w:sz w:val="21"/>
          <w:szCs w:val="21"/>
          <w:lang w:eastAsia="es-AR"/>
        </w:rPr>
      </w:pPr>
      <w:r w:rsidRPr="00A0515C">
        <w:rPr>
          <w:rFonts w:eastAsia="Times New Roman" w:cstheme="minorHAnsi"/>
          <w:caps/>
          <w:color w:val="304D56"/>
          <w:sz w:val="21"/>
          <w:szCs w:val="21"/>
          <w:lang w:eastAsia="es-AR"/>
        </w:rPr>
        <w:t xml:space="preserve">Miércoles 29 Octubre, 2025 </w:t>
      </w:r>
      <w:r>
        <w:rPr>
          <w:rFonts w:eastAsia="Times New Roman" w:cstheme="minorHAnsi"/>
          <w:caps/>
          <w:color w:val="304D56"/>
          <w:sz w:val="21"/>
          <w:szCs w:val="21"/>
          <w:lang w:eastAsia="es-AR"/>
        </w:rPr>
        <w:t xml:space="preserve">                                           </w:t>
      </w:r>
      <w:r w:rsidRPr="00A0515C">
        <w:rPr>
          <w:rFonts w:eastAsia="Times New Roman" w:cstheme="minorHAnsi"/>
          <w:caps/>
          <w:color w:val="304D56"/>
          <w:sz w:val="21"/>
          <w:szCs w:val="21"/>
          <w:lang w:eastAsia="es-AR"/>
        </w:rPr>
        <w:t>https://www.consensosalud.com.ar/</w:t>
      </w:r>
    </w:p>
    <w:p w:rsidR="00A0515C" w:rsidRPr="00A0515C" w:rsidRDefault="00A0515C" w:rsidP="00A0515C">
      <w:pPr>
        <w:spacing w:after="0" w:line="240" w:lineRule="auto"/>
        <w:rPr>
          <w:rFonts w:eastAsia="Times New Roman" w:cstheme="minorHAnsi"/>
          <w:sz w:val="24"/>
          <w:szCs w:val="24"/>
          <w:lang w:eastAsia="es-AR"/>
        </w:rPr>
      </w:pPr>
    </w:p>
    <w:p w:rsidR="00A0515C" w:rsidRPr="00A0515C" w:rsidRDefault="00A0515C" w:rsidP="00A0515C">
      <w:pPr>
        <w:shd w:val="clear" w:color="auto" w:fill="FFFFFF"/>
        <w:spacing w:after="0" w:line="360" w:lineRule="atLeast"/>
        <w:textAlignment w:val="baseline"/>
        <w:rPr>
          <w:rFonts w:eastAsia="Times New Roman" w:cstheme="minorHAnsi"/>
          <w:b/>
          <w:bCs/>
          <w:color w:val="304D56"/>
          <w:sz w:val="27"/>
          <w:szCs w:val="27"/>
          <w:lang w:eastAsia="es-AR"/>
        </w:rPr>
      </w:pPr>
      <w:r w:rsidRPr="00A0515C">
        <w:rPr>
          <w:rFonts w:eastAsia="Times New Roman" w:cstheme="minorHAnsi"/>
          <w:b/>
          <w:bCs/>
          <w:color w:val="304D56"/>
          <w:sz w:val="27"/>
          <w:szCs w:val="27"/>
          <w:lang w:eastAsia="es-AR"/>
        </w:rPr>
        <w:t>El riesgo de ACV isquémico parece ser mayor entre 3 y 5 días después de un episodio de fibrilación auricular.</w:t>
      </w:r>
    </w:p>
    <w:p w:rsidR="00A0515C" w:rsidRPr="00A0515C" w:rsidRDefault="00A0515C" w:rsidP="00A0515C">
      <w:pPr>
        <w:spacing w:after="0" w:line="240" w:lineRule="auto"/>
        <w:rPr>
          <w:rFonts w:ascii="Times New Roman" w:eastAsia="Times New Roman" w:hAnsi="Times New Roman" w:cs="Times New Roman"/>
          <w:sz w:val="24"/>
          <w:szCs w:val="24"/>
          <w:lang w:eastAsia="es-AR"/>
        </w:rPr>
      </w:pPr>
    </w:p>
    <w:p w:rsidR="00A0515C" w:rsidRPr="00A0515C" w:rsidRDefault="00A0515C" w:rsidP="00A051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Pr>
          <w:rFonts w:ascii="Century Gothic" w:eastAsia="Times New Roman" w:hAnsi="Century Gothic" w:cs="Times New Roman"/>
          <w:noProof/>
          <w:color w:val="314D55"/>
          <w:sz w:val="23"/>
          <w:szCs w:val="23"/>
          <w:lang w:eastAsia="es-AR"/>
        </w:rPr>
        <w:drawing>
          <wp:inline distT="0" distB="0" distL="0" distR="0">
            <wp:extent cx="5302637" cy="3485034"/>
            <wp:effectExtent l="0" t="0" r="0" b="1270"/>
            <wp:docPr id="1" name="Imagen 1" descr="https://www.consensosalud.com.ar/wp-content/uploads/2022/09/fibrilacion-auricular-1024x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nsensosalud.com.ar/wp-content/uploads/2022/09/fibrilacion-auricular-1024x67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04096" cy="3485993"/>
                    </a:xfrm>
                    <a:prstGeom prst="rect">
                      <a:avLst/>
                    </a:prstGeom>
                    <a:noFill/>
                    <a:ln>
                      <a:noFill/>
                    </a:ln>
                  </pic:spPr>
                </pic:pic>
              </a:graphicData>
            </a:graphic>
          </wp:inline>
        </w:drawing>
      </w:r>
    </w:p>
    <w:p w:rsid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color w:val="314D55"/>
          <w:sz w:val="23"/>
          <w:szCs w:val="23"/>
          <w:lang w:eastAsia="es-AR"/>
        </w:rPr>
        <w:t>La fibrilación auricular (FA) es un factor de riesgo importante para sufrir un </w:t>
      </w:r>
      <w:r w:rsidRPr="00A0515C">
        <w:rPr>
          <w:rFonts w:eastAsia="Times New Roman" w:cstheme="minorHAnsi"/>
          <w:b/>
          <w:bCs/>
          <w:color w:val="314D55"/>
          <w:sz w:val="23"/>
          <w:szCs w:val="23"/>
          <w:bdr w:val="none" w:sz="0" w:space="0" w:color="auto" w:frame="1"/>
          <w:lang w:eastAsia="es-AR"/>
        </w:rPr>
        <w:t>accidente cerebrovascular (ACV) isquémico</w:t>
      </w:r>
      <w:r w:rsidRPr="00A0515C">
        <w:rPr>
          <w:rFonts w:eastAsia="Times New Roman" w:cstheme="minorHAnsi"/>
          <w:color w:val="314D55"/>
          <w:sz w:val="23"/>
          <w:szCs w:val="23"/>
          <w:lang w:eastAsia="es-AR"/>
        </w:rPr>
        <w:t>, aumentando la probabilidad de padecerlo hasta cinco veces, señala la investigación llevada adelante en todo el país por la FAC.</w:t>
      </w: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color w:val="314D55"/>
          <w:sz w:val="23"/>
          <w:szCs w:val="23"/>
          <w:lang w:eastAsia="es-AR"/>
        </w:rPr>
        <w:t>El </w:t>
      </w:r>
      <w:r w:rsidRPr="00A0515C">
        <w:rPr>
          <w:rFonts w:eastAsia="Times New Roman" w:cstheme="minorHAnsi"/>
          <w:b/>
          <w:bCs/>
          <w:color w:val="314D55"/>
          <w:sz w:val="23"/>
          <w:szCs w:val="23"/>
          <w:bdr w:val="none" w:sz="0" w:space="0" w:color="auto" w:frame="1"/>
          <w:lang w:eastAsia="es-AR"/>
        </w:rPr>
        <w:t>ataque cerebral constituye la segunda causa de muerte y la primera de discapacidad a nivel mundial, afectando a 1 de cada 4 personas en el mundo</w:t>
      </w:r>
      <w:r w:rsidRPr="00A0515C">
        <w:rPr>
          <w:rFonts w:eastAsia="Times New Roman" w:cstheme="minorHAnsi"/>
          <w:color w:val="314D55"/>
          <w:sz w:val="23"/>
          <w:szCs w:val="23"/>
          <w:lang w:eastAsia="es-AR"/>
        </w:rPr>
        <w:t> y estimándose que más de 100 millones de personas viven con secuelas. Cada </w:t>
      </w:r>
      <w:r w:rsidRPr="00A0515C">
        <w:rPr>
          <w:rFonts w:eastAsia="Times New Roman" w:cstheme="minorHAnsi"/>
          <w:b/>
          <w:bCs/>
          <w:color w:val="314D55"/>
          <w:sz w:val="23"/>
          <w:szCs w:val="23"/>
          <w:bdr w:val="none" w:sz="0" w:space="0" w:color="auto" w:frame="1"/>
          <w:lang w:eastAsia="es-AR"/>
        </w:rPr>
        <w:t>29 de octubre</w:t>
      </w:r>
      <w:r w:rsidRPr="00A0515C">
        <w:rPr>
          <w:rFonts w:eastAsia="Times New Roman" w:cstheme="minorHAnsi"/>
          <w:color w:val="314D55"/>
          <w:sz w:val="23"/>
          <w:szCs w:val="23"/>
          <w:lang w:eastAsia="es-AR"/>
        </w:rPr>
        <w:t>, se desarrollan campañas de concientización y prevención como parte del Día Mundial del ACV.</w:t>
      </w: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i/>
          <w:iCs/>
          <w:color w:val="314D55"/>
          <w:sz w:val="23"/>
          <w:szCs w:val="23"/>
          <w:bdr w:val="none" w:sz="0" w:space="0" w:color="auto" w:frame="1"/>
          <w:lang w:eastAsia="es-AR"/>
        </w:rPr>
        <w:t>Normalmente, el corazón bombea sangre de manera eficiente. Sin embargo, en la fibrilación auricular, las aurículas (cámaras superiores del corazón) laten de forma rápida e irregular, lo que impide que la sangre fluya completamente. De esta forma, la sangre se acumula en la aurícula formando coágulos (trombos) que al llegar al cerebro producen una interrupción del flujo sanguíneo desencadenando un ACV</w:t>
      </w:r>
      <w:r w:rsidRPr="00A0515C">
        <w:rPr>
          <w:rFonts w:eastAsia="Times New Roman" w:cstheme="minorHAnsi"/>
          <w:color w:val="314D55"/>
          <w:sz w:val="23"/>
          <w:szCs w:val="23"/>
          <w:lang w:eastAsia="es-AR"/>
        </w:rPr>
        <w:t>, señala el </w:t>
      </w:r>
      <w:r w:rsidRPr="00A0515C">
        <w:rPr>
          <w:rFonts w:eastAsia="Times New Roman" w:cstheme="minorHAnsi"/>
          <w:b/>
          <w:bCs/>
          <w:color w:val="314D55"/>
          <w:sz w:val="23"/>
          <w:szCs w:val="23"/>
          <w:bdr w:val="none" w:sz="0" w:space="0" w:color="auto" w:frame="1"/>
          <w:lang w:eastAsia="es-AR"/>
        </w:rPr>
        <w:t>Dr. Luis Aguinaga </w:t>
      </w:r>
      <w:r w:rsidRPr="00A0515C">
        <w:rPr>
          <w:rFonts w:eastAsia="Times New Roman" w:cstheme="minorHAnsi"/>
          <w:color w:val="314D55"/>
          <w:sz w:val="23"/>
          <w:szCs w:val="23"/>
          <w:lang w:eastAsia="es-AR"/>
        </w:rPr>
        <w:t>(MP 4312), cardiólogo ex presidente de la FAC y el encargado de llevar adelante el estudio “</w:t>
      </w:r>
      <w:r w:rsidRPr="00A0515C">
        <w:rPr>
          <w:rFonts w:eastAsia="Times New Roman" w:cstheme="minorHAnsi"/>
          <w:b/>
          <w:bCs/>
          <w:color w:val="314D55"/>
          <w:sz w:val="23"/>
          <w:szCs w:val="23"/>
          <w:bdr w:val="none" w:sz="0" w:space="0" w:color="auto" w:frame="1"/>
          <w:lang w:eastAsia="es-AR"/>
        </w:rPr>
        <w:t>Argentina sin FA</w:t>
      </w:r>
      <w:r w:rsidRPr="00A0515C">
        <w:rPr>
          <w:rFonts w:eastAsia="Times New Roman" w:cstheme="minorHAnsi"/>
          <w:color w:val="314D55"/>
          <w:sz w:val="23"/>
          <w:szCs w:val="23"/>
          <w:lang w:eastAsia="es-AR"/>
        </w:rPr>
        <w:t>”.</w:t>
      </w: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b/>
          <w:bCs/>
          <w:color w:val="314D55"/>
          <w:sz w:val="23"/>
          <w:szCs w:val="23"/>
          <w:bdr w:val="none" w:sz="0" w:space="0" w:color="auto" w:frame="1"/>
          <w:lang w:eastAsia="es-AR"/>
        </w:rPr>
        <w:t>Los ACV asociados a la FA suelen ser más graves</w:t>
      </w:r>
      <w:r w:rsidRPr="00A0515C">
        <w:rPr>
          <w:rFonts w:eastAsia="Times New Roman" w:cstheme="minorHAnsi"/>
          <w:color w:val="314D55"/>
          <w:sz w:val="23"/>
          <w:szCs w:val="23"/>
          <w:lang w:eastAsia="es-AR"/>
        </w:rPr>
        <w:t xml:space="preserve">. El riesgo de ACV isquémico parece ser mayor entre 3 y 5 días después de un episodio de fibrilación auricular.  De esta forma, la principal medida de prevención en pacientes con FA es el uso de medicamentos anticoagulantes, bajo supervisión médica. Estos medicamentos ayudan a prevenir la </w:t>
      </w:r>
      <w:r w:rsidRPr="00A0515C">
        <w:rPr>
          <w:rFonts w:eastAsia="Times New Roman" w:cstheme="minorHAnsi"/>
          <w:color w:val="314D55"/>
          <w:sz w:val="23"/>
          <w:szCs w:val="23"/>
          <w:lang w:eastAsia="es-AR"/>
        </w:rPr>
        <w:lastRenderedPageBreak/>
        <w:t>formación de coágulos sanguíneos y pueden reducir significativamente el riesgo de un ACV.</w:t>
      </w:r>
      <w:r w:rsidRPr="00A0515C">
        <w:rPr>
          <w:rFonts w:eastAsia="Times New Roman" w:cstheme="minorHAnsi"/>
          <w:color w:val="314D55"/>
          <w:sz w:val="23"/>
          <w:szCs w:val="23"/>
          <w:lang w:eastAsia="es-AR"/>
        </w:rPr>
        <w:br/>
        <w:t>Prevalencia y diagnóstico</w:t>
      </w: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color w:val="314D55"/>
          <w:sz w:val="23"/>
          <w:szCs w:val="23"/>
          <w:lang w:eastAsia="es-AR"/>
        </w:rPr>
        <w:t>El estudio destaca que </w:t>
      </w:r>
      <w:r w:rsidRPr="00A0515C">
        <w:rPr>
          <w:rFonts w:eastAsia="Times New Roman" w:cstheme="minorHAnsi"/>
          <w:b/>
          <w:bCs/>
          <w:color w:val="314D55"/>
          <w:sz w:val="23"/>
          <w:szCs w:val="23"/>
          <w:bdr w:val="none" w:sz="0" w:space="0" w:color="auto" w:frame="1"/>
          <w:lang w:eastAsia="es-AR"/>
        </w:rPr>
        <w:t>entre el 0,5 y 1% de los mayores de 70 años presentan fibrilación auricular</w:t>
      </w:r>
      <w:r w:rsidRPr="00A0515C">
        <w:rPr>
          <w:rFonts w:eastAsia="Times New Roman" w:cstheme="minorHAnsi"/>
          <w:color w:val="314D55"/>
          <w:sz w:val="23"/>
          <w:szCs w:val="23"/>
          <w:lang w:eastAsia="es-AR"/>
        </w:rPr>
        <w:t xml:space="preserve">. A su vez, hay una gran prevalencia de pacientes asintomáticos que fueron detectados mediante métodos convencionales de </w:t>
      </w:r>
      <w:proofErr w:type="spellStart"/>
      <w:r w:rsidRPr="00A0515C">
        <w:rPr>
          <w:rFonts w:eastAsia="Times New Roman" w:cstheme="minorHAnsi"/>
          <w:color w:val="314D55"/>
          <w:sz w:val="23"/>
          <w:szCs w:val="23"/>
          <w:lang w:eastAsia="es-AR"/>
        </w:rPr>
        <w:t>screening</w:t>
      </w:r>
      <w:proofErr w:type="spellEnd"/>
      <w:r w:rsidRPr="00A0515C">
        <w:rPr>
          <w:rFonts w:eastAsia="Times New Roman" w:cstheme="minorHAnsi"/>
          <w:color w:val="314D55"/>
          <w:sz w:val="23"/>
          <w:szCs w:val="23"/>
          <w:lang w:eastAsia="es-AR"/>
        </w:rPr>
        <w:t xml:space="preserve"> no invasivos como el pulso, electrocardiograma, </w:t>
      </w:r>
      <w:proofErr w:type="spellStart"/>
      <w:r w:rsidRPr="00A0515C">
        <w:rPr>
          <w:rFonts w:eastAsia="Times New Roman" w:cstheme="minorHAnsi"/>
          <w:color w:val="314D55"/>
          <w:sz w:val="23"/>
          <w:szCs w:val="23"/>
          <w:lang w:eastAsia="es-AR"/>
        </w:rPr>
        <w:t>holter</w:t>
      </w:r>
      <w:proofErr w:type="spellEnd"/>
      <w:r w:rsidRPr="00A0515C">
        <w:rPr>
          <w:rFonts w:eastAsia="Times New Roman" w:cstheme="minorHAnsi"/>
          <w:color w:val="314D55"/>
          <w:sz w:val="23"/>
          <w:szCs w:val="23"/>
          <w:lang w:eastAsia="es-AR"/>
        </w:rPr>
        <w:t>, relojes o teléfonos.</w:t>
      </w: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i/>
          <w:iCs/>
          <w:color w:val="314D55"/>
          <w:sz w:val="23"/>
          <w:szCs w:val="23"/>
          <w:bdr w:val="none" w:sz="0" w:space="0" w:color="auto" w:frame="1"/>
          <w:lang w:eastAsia="es-AR"/>
        </w:rPr>
        <w:t>Lamentablemente nuestra población también presenta </w:t>
      </w:r>
      <w:r w:rsidRPr="00A0515C">
        <w:rPr>
          <w:rFonts w:eastAsia="Times New Roman" w:cstheme="minorHAnsi"/>
          <w:b/>
          <w:bCs/>
          <w:i/>
          <w:iCs/>
          <w:color w:val="314D55"/>
          <w:sz w:val="23"/>
          <w:szCs w:val="23"/>
          <w:bdr w:val="none" w:sz="0" w:space="0" w:color="auto" w:frame="1"/>
          <w:lang w:eastAsia="es-AR"/>
        </w:rPr>
        <w:t>gran prevalencia de factores de riesgo </w:t>
      </w:r>
      <w:r w:rsidRPr="00A0515C">
        <w:rPr>
          <w:rFonts w:eastAsia="Times New Roman" w:cstheme="minorHAnsi"/>
          <w:i/>
          <w:iCs/>
          <w:color w:val="314D55"/>
          <w:sz w:val="23"/>
          <w:szCs w:val="23"/>
          <w:bdr w:val="none" w:sz="0" w:space="0" w:color="auto" w:frame="1"/>
          <w:lang w:eastAsia="es-AR"/>
        </w:rPr>
        <w:t>que llevan a esta situación</w:t>
      </w:r>
      <w:r w:rsidRPr="00A0515C">
        <w:rPr>
          <w:rFonts w:eastAsia="Times New Roman" w:cstheme="minorHAnsi"/>
          <w:color w:val="314D55"/>
          <w:sz w:val="23"/>
          <w:szCs w:val="23"/>
          <w:lang w:eastAsia="es-AR"/>
        </w:rPr>
        <w:t>, señala Aguinaga y enumera</w:t>
      </w:r>
      <w:r w:rsidRPr="00A0515C">
        <w:rPr>
          <w:rFonts w:eastAsia="Times New Roman" w:cstheme="minorHAnsi"/>
          <w:b/>
          <w:bCs/>
          <w:color w:val="314D55"/>
          <w:sz w:val="23"/>
          <w:szCs w:val="23"/>
          <w:bdr w:val="none" w:sz="0" w:space="0" w:color="auto" w:frame="1"/>
          <w:lang w:eastAsia="es-AR"/>
        </w:rPr>
        <w:t> </w:t>
      </w:r>
      <w:r w:rsidRPr="00A0515C">
        <w:rPr>
          <w:rFonts w:eastAsia="Times New Roman" w:cstheme="minorHAnsi"/>
          <w:b/>
          <w:bCs/>
          <w:i/>
          <w:iCs/>
          <w:color w:val="314D55"/>
          <w:sz w:val="23"/>
          <w:szCs w:val="23"/>
          <w:bdr w:val="none" w:sz="0" w:space="0" w:color="auto" w:frame="1"/>
          <w:lang w:eastAsia="es-AR"/>
        </w:rPr>
        <w:t>obesidad, hipertensión, diabetes, sedentarismo, entre otros</w:t>
      </w:r>
      <w:r w:rsidRPr="00A0515C">
        <w:rPr>
          <w:rFonts w:eastAsia="Times New Roman" w:cstheme="minorHAnsi"/>
          <w:color w:val="314D55"/>
          <w:sz w:val="23"/>
          <w:szCs w:val="23"/>
          <w:lang w:eastAsia="es-AR"/>
        </w:rPr>
        <w:t xml:space="preserve">. Frente a esta situación, también el estudio halló contradicciones en los tratamientos dado que hay pacientes de bajo riesgo que están </w:t>
      </w:r>
      <w:proofErr w:type="spellStart"/>
      <w:r w:rsidRPr="00A0515C">
        <w:rPr>
          <w:rFonts w:eastAsia="Times New Roman" w:cstheme="minorHAnsi"/>
          <w:color w:val="314D55"/>
          <w:sz w:val="23"/>
          <w:szCs w:val="23"/>
          <w:lang w:eastAsia="es-AR"/>
        </w:rPr>
        <w:t>anticoagulados</w:t>
      </w:r>
      <w:proofErr w:type="spellEnd"/>
      <w:r w:rsidRPr="00A0515C">
        <w:rPr>
          <w:rFonts w:eastAsia="Times New Roman" w:cstheme="minorHAnsi"/>
          <w:color w:val="314D55"/>
          <w:sz w:val="23"/>
          <w:szCs w:val="23"/>
          <w:lang w:eastAsia="es-AR"/>
        </w:rPr>
        <w:t xml:space="preserve"> y, por el contrario, pacientes de alto riesgo que no toman ningún tipo de medicación.  Entre los diversos resultados, también se destaca que cerca del 15% de los pacientes en Argentina poseen algún tipo de disfunción tiroidea.</w:t>
      </w:r>
    </w:p>
    <w:p w:rsidR="00A0515C" w:rsidRPr="00A0515C" w:rsidRDefault="00A0515C" w:rsidP="00A0515C">
      <w:pPr>
        <w:shd w:val="clear" w:color="auto" w:fill="FFFFFF"/>
        <w:spacing w:after="0" w:line="293" w:lineRule="atLeast"/>
        <w:textAlignment w:val="baseline"/>
        <w:rPr>
          <w:rFonts w:eastAsia="Times New Roman" w:cstheme="minorHAnsi"/>
          <w:color w:val="314D55"/>
          <w:sz w:val="23"/>
          <w:szCs w:val="23"/>
          <w:lang w:eastAsia="es-AR"/>
        </w:rPr>
      </w:pPr>
      <w:r w:rsidRPr="00A0515C">
        <w:rPr>
          <w:rFonts w:eastAsia="Times New Roman" w:cstheme="minorHAnsi"/>
          <w:i/>
          <w:iCs/>
          <w:color w:val="314D55"/>
          <w:sz w:val="23"/>
          <w:szCs w:val="23"/>
          <w:bdr w:val="none" w:sz="0" w:space="0" w:color="auto" w:frame="1"/>
          <w:lang w:eastAsia="es-AR"/>
        </w:rPr>
        <w:t xml:space="preserve">Hay una gran relación de causalidad entre fibrilación auricular y ACV </w:t>
      </w:r>
      <w:proofErr w:type="spellStart"/>
      <w:r w:rsidRPr="00A0515C">
        <w:rPr>
          <w:rFonts w:eastAsia="Times New Roman" w:cstheme="minorHAnsi"/>
          <w:i/>
          <w:iCs/>
          <w:color w:val="314D55"/>
          <w:sz w:val="23"/>
          <w:szCs w:val="23"/>
          <w:bdr w:val="none" w:sz="0" w:space="0" w:color="auto" w:frame="1"/>
          <w:lang w:eastAsia="es-AR"/>
        </w:rPr>
        <w:t>cardioembólico</w:t>
      </w:r>
      <w:proofErr w:type="spellEnd"/>
      <w:r w:rsidRPr="00A0515C">
        <w:rPr>
          <w:rFonts w:eastAsia="Times New Roman" w:cstheme="minorHAnsi"/>
          <w:i/>
          <w:iCs/>
          <w:color w:val="314D55"/>
          <w:sz w:val="23"/>
          <w:szCs w:val="23"/>
          <w:bdr w:val="none" w:sz="0" w:space="0" w:color="auto" w:frame="1"/>
          <w:lang w:eastAsia="es-AR"/>
        </w:rPr>
        <w:t>. Por este motivo, las mejores medidas para evitar ambas entidades por separado y conjuntas son prevenir los principales factores de riesgo. Pero una vez instalada la fibrilación auricular la mejor estrategia es iniciar la anticoagulación en los pacientes con un score de riesgo de ACV elevado</w:t>
      </w:r>
      <w:r w:rsidRPr="00A0515C">
        <w:rPr>
          <w:rFonts w:eastAsia="Times New Roman" w:cstheme="minorHAnsi"/>
          <w:color w:val="314D55"/>
          <w:sz w:val="23"/>
          <w:szCs w:val="23"/>
          <w:lang w:eastAsia="es-AR"/>
        </w:rPr>
        <w:t>, concluye Aguinaga.</w:t>
      </w:r>
    </w:p>
    <w:p w:rsidR="00F30A73" w:rsidRPr="00A0515C" w:rsidRDefault="00F30A73">
      <w:pPr>
        <w:rPr>
          <w:rFonts w:cstheme="minorHAnsi"/>
        </w:rPr>
      </w:pPr>
    </w:p>
    <w:sectPr w:rsidR="00F30A73" w:rsidRPr="00A051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15C"/>
    <w:rsid w:val="00A0515C"/>
    <w:rsid w:val="00F30A7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0515C"/>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A0515C"/>
    <w:rPr>
      <w:b/>
      <w:bCs/>
    </w:rPr>
  </w:style>
  <w:style w:type="character" w:styleId="nfasis">
    <w:name w:val="Emphasis"/>
    <w:basedOn w:val="Fuentedeprrafopredeter"/>
    <w:uiPriority w:val="20"/>
    <w:qFormat/>
    <w:rsid w:val="00A0515C"/>
    <w:rPr>
      <w:i/>
      <w:iCs/>
    </w:rPr>
  </w:style>
  <w:style w:type="paragraph" w:styleId="Textodeglobo">
    <w:name w:val="Balloon Text"/>
    <w:basedOn w:val="Normal"/>
    <w:link w:val="TextodegloboCar"/>
    <w:uiPriority w:val="99"/>
    <w:semiHidden/>
    <w:unhideWhenUsed/>
    <w:rsid w:val="00A051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51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0515C"/>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A0515C"/>
    <w:rPr>
      <w:b/>
      <w:bCs/>
    </w:rPr>
  </w:style>
  <w:style w:type="character" w:styleId="nfasis">
    <w:name w:val="Emphasis"/>
    <w:basedOn w:val="Fuentedeprrafopredeter"/>
    <w:uiPriority w:val="20"/>
    <w:qFormat/>
    <w:rsid w:val="00A0515C"/>
    <w:rPr>
      <w:i/>
      <w:iCs/>
    </w:rPr>
  </w:style>
  <w:style w:type="paragraph" w:styleId="Textodeglobo">
    <w:name w:val="Balloon Text"/>
    <w:basedOn w:val="Normal"/>
    <w:link w:val="TextodegloboCar"/>
    <w:uiPriority w:val="99"/>
    <w:semiHidden/>
    <w:unhideWhenUsed/>
    <w:rsid w:val="00A051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51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1223668">
      <w:bodyDiv w:val="1"/>
      <w:marLeft w:val="0"/>
      <w:marRight w:val="0"/>
      <w:marTop w:val="0"/>
      <w:marBottom w:val="0"/>
      <w:divBdr>
        <w:top w:val="none" w:sz="0" w:space="0" w:color="auto"/>
        <w:left w:val="none" w:sz="0" w:space="0" w:color="auto"/>
        <w:bottom w:val="none" w:sz="0" w:space="0" w:color="auto"/>
        <w:right w:val="none" w:sz="0" w:space="0" w:color="auto"/>
      </w:divBdr>
      <w:divsChild>
        <w:div w:id="1355300886">
          <w:marLeft w:val="0"/>
          <w:marRight w:val="0"/>
          <w:marTop w:val="0"/>
          <w:marBottom w:val="0"/>
          <w:divBdr>
            <w:top w:val="none" w:sz="0" w:space="0" w:color="auto"/>
            <w:left w:val="none" w:sz="0" w:space="0" w:color="auto"/>
            <w:bottom w:val="none" w:sz="0" w:space="0" w:color="auto"/>
            <w:right w:val="none" w:sz="0" w:space="0" w:color="auto"/>
          </w:divBdr>
        </w:div>
        <w:div w:id="533153469">
          <w:marLeft w:val="0"/>
          <w:marRight w:val="0"/>
          <w:marTop w:val="0"/>
          <w:marBottom w:val="0"/>
          <w:divBdr>
            <w:top w:val="none" w:sz="0" w:space="0" w:color="auto"/>
            <w:left w:val="none" w:sz="0" w:space="0" w:color="auto"/>
            <w:bottom w:val="none" w:sz="0" w:space="0" w:color="auto"/>
            <w:right w:val="none" w:sz="0" w:space="0" w:color="auto"/>
          </w:divBdr>
        </w:div>
        <w:div w:id="1269387784">
          <w:marLeft w:val="0"/>
          <w:marRight w:val="0"/>
          <w:marTop w:val="0"/>
          <w:marBottom w:val="0"/>
          <w:divBdr>
            <w:top w:val="none" w:sz="0" w:space="0" w:color="auto"/>
            <w:left w:val="none" w:sz="0" w:space="0" w:color="auto"/>
            <w:bottom w:val="none" w:sz="0" w:space="0" w:color="auto"/>
            <w:right w:val="none" w:sz="0" w:space="0" w:color="auto"/>
          </w:divBdr>
        </w:div>
        <w:div w:id="1040125912">
          <w:marLeft w:val="0"/>
          <w:marRight w:val="0"/>
          <w:marTop w:val="0"/>
          <w:marBottom w:val="0"/>
          <w:divBdr>
            <w:top w:val="none" w:sz="0" w:space="0" w:color="auto"/>
            <w:left w:val="none" w:sz="0" w:space="0" w:color="auto"/>
            <w:bottom w:val="none" w:sz="0" w:space="0" w:color="auto"/>
            <w:right w:val="none" w:sz="0" w:space="0" w:color="auto"/>
          </w:divBdr>
          <w:divsChild>
            <w:div w:id="695735472">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488</Words>
  <Characters>2685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Scavino</dc:creator>
  <cp:lastModifiedBy>Natalia Scavino</cp:lastModifiedBy>
  <cp:revision>1</cp:revision>
  <dcterms:created xsi:type="dcterms:W3CDTF">2025-11-10T16:26:00Z</dcterms:created>
  <dcterms:modified xsi:type="dcterms:W3CDTF">2025-11-10T16:28:00Z</dcterms:modified>
</cp:coreProperties>
</file>