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B24" w:rsidRPr="00C42B24" w:rsidRDefault="00C42B24" w:rsidP="00C42B24">
      <w:pPr>
        <w:shd w:val="clear" w:color="auto" w:fill="FFFFFF"/>
        <w:spacing w:after="0" w:line="450" w:lineRule="atLeast"/>
        <w:jc w:val="center"/>
        <w:textAlignment w:val="baseline"/>
        <w:rPr>
          <w:rFonts w:ascii="Play" w:eastAsia="Times New Roman" w:hAnsi="Play" w:cs="Times New Roman"/>
          <w:caps/>
          <w:color w:val="488E9A"/>
          <w:sz w:val="30"/>
          <w:szCs w:val="30"/>
          <w:lang w:eastAsia="es-AR"/>
        </w:rPr>
      </w:pPr>
      <w:r w:rsidRPr="00C42B24">
        <w:rPr>
          <w:rFonts w:ascii="Play" w:eastAsia="Times New Roman" w:hAnsi="Play" w:cs="Times New Roman"/>
          <w:caps/>
          <w:color w:val="488E9A"/>
          <w:sz w:val="30"/>
          <w:szCs w:val="30"/>
          <w:lang w:eastAsia="es-AR"/>
        </w:rPr>
        <w:t>Nueva tecnología mejora tiempos y precisión en detección de cánceres hematológicos</w:t>
      </w:r>
    </w:p>
    <w:p w:rsidR="00C42B24" w:rsidRPr="00C42B24" w:rsidRDefault="00C42B24" w:rsidP="00C42B24">
      <w:pPr>
        <w:spacing w:after="0" w:line="240" w:lineRule="auto"/>
        <w:rPr>
          <w:rFonts w:ascii="Times New Roman" w:eastAsia="Times New Roman" w:hAnsi="Times New Roman" w:cs="Times New Roman"/>
          <w:sz w:val="24"/>
          <w:szCs w:val="24"/>
          <w:lang w:eastAsia="es-AR"/>
        </w:rPr>
      </w:pPr>
    </w:p>
    <w:p w:rsidR="00C42B24" w:rsidRPr="00C42B24" w:rsidRDefault="00C42B24" w:rsidP="00C42B24">
      <w:pPr>
        <w:shd w:val="clear" w:color="auto" w:fill="FFFFFF"/>
        <w:spacing w:after="0" w:line="315" w:lineRule="atLeast"/>
        <w:textAlignment w:val="baseline"/>
        <w:rPr>
          <w:rFonts w:ascii="Play" w:eastAsia="Times New Roman" w:hAnsi="Play" w:cs="Times New Roman"/>
          <w:caps/>
          <w:color w:val="304D56"/>
          <w:sz w:val="21"/>
          <w:szCs w:val="21"/>
          <w:lang w:eastAsia="es-AR"/>
        </w:rPr>
      </w:pPr>
      <w:r w:rsidRPr="00C42B24">
        <w:rPr>
          <w:rFonts w:ascii="Play" w:eastAsia="Times New Roman" w:hAnsi="Play" w:cs="Times New Roman"/>
          <w:caps/>
          <w:color w:val="304D56"/>
          <w:sz w:val="21"/>
          <w:szCs w:val="21"/>
          <w:lang w:eastAsia="es-AR"/>
        </w:rPr>
        <w:t xml:space="preserve">Lunes 7 Julio, 2025 </w:t>
      </w:r>
      <w:r>
        <w:rPr>
          <w:rFonts w:ascii="Play" w:eastAsia="Times New Roman" w:hAnsi="Play" w:cs="Times New Roman"/>
          <w:caps/>
          <w:color w:val="304D56"/>
          <w:sz w:val="21"/>
          <w:szCs w:val="21"/>
          <w:lang w:eastAsia="es-AR"/>
        </w:rPr>
        <w:t xml:space="preserve">                    </w:t>
      </w:r>
      <w:bookmarkStart w:id="0" w:name="_GoBack"/>
      <w:bookmarkEnd w:id="0"/>
      <w:r>
        <w:rPr>
          <w:rFonts w:ascii="Play" w:eastAsia="Times New Roman" w:hAnsi="Play" w:cs="Times New Roman"/>
          <w:caps/>
          <w:color w:val="304D56"/>
          <w:sz w:val="21"/>
          <w:szCs w:val="21"/>
          <w:lang w:eastAsia="es-AR"/>
        </w:rPr>
        <w:t xml:space="preserve">                      </w:t>
      </w:r>
      <w:r w:rsidRPr="00C42B24">
        <w:rPr>
          <w:rFonts w:ascii="Play" w:eastAsia="Times New Roman" w:hAnsi="Play" w:cs="Times New Roman"/>
          <w:caps/>
          <w:color w:val="304D56"/>
          <w:sz w:val="21"/>
          <w:szCs w:val="21"/>
          <w:lang w:eastAsia="es-AR"/>
        </w:rPr>
        <w:t>https://www.consensosalud.com.ar/</w:t>
      </w:r>
    </w:p>
    <w:p w:rsidR="00C42B24" w:rsidRPr="00C42B24" w:rsidRDefault="00C42B24" w:rsidP="00C42B24">
      <w:pPr>
        <w:spacing w:after="0" w:line="240" w:lineRule="auto"/>
        <w:rPr>
          <w:rFonts w:ascii="Times New Roman" w:eastAsia="Times New Roman" w:hAnsi="Times New Roman" w:cs="Times New Roman"/>
          <w:sz w:val="24"/>
          <w:szCs w:val="24"/>
          <w:lang w:eastAsia="es-AR"/>
        </w:rPr>
      </w:pPr>
    </w:p>
    <w:p w:rsidR="00C42B24" w:rsidRPr="00C42B24" w:rsidRDefault="00C42B24" w:rsidP="00C42B24">
      <w:pPr>
        <w:shd w:val="clear" w:color="auto" w:fill="FFFFFF"/>
        <w:spacing w:after="0" w:line="360" w:lineRule="atLeast"/>
        <w:textAlignment w:val="baseline"/>
        <w:rPr>
          <w:rFonts w:ascii="Century Gothic" w:eastAsia="Times New Roman" w:hAnsi="Century Gothic" w:cs="Times New Roman"/>
          <w:b/>
          <w:bCs/>
          <w:color w:val="304D56"/>
          <w:sz w:val="27"/>
          <w:szCs w:val="27"/>
          <w:lang w:eastAsia="es-AR"/>
        </w:rPr>
      </w:pPr>
      <w:r w:rsidRPr="00C42B24">
        <w:rPr>
          <w:rFonts w:ascii="Century Gothic" w:eastAsia="Times New Roman" w:hAnsi="Century Gothic" w:cs="Times New Roman"/>
          <w:b/>
          <w:bCs/>
          <w:color w:val="304D56"/>
          <w:sz w:val="27"/>
          <w:szCs w:val="27"/>
          <w:lang w:eastAsia="es-AR"/>
        </w:rPr>
        <w:t xml:space="preserve">A diferencia de las técnicas tradicionales, la </w:t>
      </w:r>
      <w:proofErr w:type="spellStart"/>
      <w:r w:rsidRPr="00C42B24">
        <w:rPr>
          <w:rFonts w:ascii="Century Gothic" w:eastAsia="Times New Roman" w:hAnsi="Century Gothic" w:cs="Times New Roman"/>
          <w:b/>
          <w:bCs/>
          <w:color w:val="304D56"/>
          <w:sz w:val="27"/>
          <w:szCs w:val="27"/>
          <w:lang w:eastAsia="es-AR"/>
        </w:rPr>
        <w:t>citometría</w:t>
      </w:r>
      <w:proofErr w:type="spellEnd"/>
      <w:r w:rsidRPr="00C42B24">
        <w:rPr>
          <w:rFonts w:ascii="Century Gothic" w:eastAsia="Times New Roman" w:hAnsi="Century Gothic" w:cs="Times New Roman"/>
          <w:b/>
          <w:bCs/>
          <w:color w:val="304D56"/>
          <w:sz w:val="27"/>
          <w:szCs w:val="27"/>
          <w:lang w:eastAsia="es-AR"/>
        </w:rPr>
        <w:t xml:space="preserve"> de flujo es capaz de analizar simultáneamente múltiples parámetros celulares a una velocidad y resolución que hasta hace pocos años parecía imposible.</w:t>
      </w:r>
    </w:p>
    <w:p w:rsidR="00C42B24" w:rsidRPr="00C42B24" w:rsidRDefault="00C42B24" w:rsidP="00C42B24">
      <w:pPr>
        <w:spacing w:after="0" w:line="240" w:lineRule="auto"/>
        <w:rPr>
          <w:rFonts w:ascii="Times New Roman" w:eastAsia="Times New Roman" w:hAnsi="Times New Roman" w:cs="Times New Roman"/>
          <w:sz w:val="24"/>
          <w:szCs w:val="24"/>
          <w:lang w:eastAsia="es-AR"/>
        </w:rPr>
      </w:pPr>
    </w:p>
    <w:p w:rsidR="00C42B24" w:rsidRPr="00C42B24" w:rsidRDefault="00C42B24" w:rsidP="00C42B24">
      <w:pPr>
        <w:shd w:val="clear" w:color="auto" w:fill="FFFFFF"/>
        <w:spacing w:after="0" w:line="293" w:lineRule="atLeast"/>
        <w:jc w:val="center"/>
        <w:textAlignment w:val="baseline"/>
        <w:rPr>
          <w:rFonts w:ascii="Century Gothic" w:eastAsia="Times New Roman" w:hAnsi="Century Gothic" w:cs="Times New Roman"/>
          <w:color w:val="314D55"/>
          <w:sz w:val="23"/>
          <w:szCs w:val="23"/>
          <w:lang w:eastAsia="es-AR"/>
        </w:rPr>
      </w:pPr>
      <w:r>
        <w:rPr>
          <w:rFonts w:ascii="Century Gothic" w:eastAsia="Times New Roman" w:hAnsi="Century Gothic" w:cs="Times New Roman"/>
          <w:noProof/>
          <w:color w:val="314D55"/>
          <w:sz w:val="23"/>
          <w:szCs w:val="23"/>
          <w:lang w:eastAsia="es-AR"/>
        </w:rPr>
        <w:drawing>
          <wp:inline distT="0" distB="0" distL="0" distR="0">
            <wp:extent cx="2857500" cy="1905000"/>
            <wp:effectExtent l="0" t="0" r="0" b="0"/>
            <wp:docPr id="1" name="Imagen 1" descr="https://www.consensosalud.com.ar/wp-content/uploads/2020/11/sang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onsensosalud.com.ar/wp-content/uploads/2020/11/sangr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Century Gothic" w:eastAsia="Times New Roman" w:hAnsi="Century Gothic" w:cs="Times New Roman"/>
          <w:color w:val="314D55"/>
          <w:sz w:val="23"/>
          <w:szCs w:val="23"/>
          <w:lang w:eastAsia="es-AR"/>
        </w:rPr>
        <w:t>Una nueva era en el diagnóstico clínico se está abriendo con la </w:t>
      </w:r>
      <w:proofErr w:type="spellStart"/>
      <w:r w:rsidRPr="00C42B24">
        <w:rPr>
          <w:rFonts w:ascii="inherit" w:eastAsia="Times New Roman" w:hAnsi="inherit" w:cs="Times New Roman"/>
          <w:b/>
          <w:bCs/>
          <w:color w:val="314D55"/>
          <w:sz w:val="23"/>
          <w:szCs w:val="23"/>
          <w:bdr w:val="none" w:sz="0" w:space="0" w:color="auto" w:frame="1"/>
          <w:lang w:eastAsia="es-AR"/>
        </w:rPr>
        <w:t>citometría</w:t>
      </w:r>
      <w:proofErr w:type="spellEnd"/>
      <w:r w:rsidRPr="00C42B24">
        <w:rPr>
          <w:rFonts w:ascii="inherit" w:eastAsia="Times New Roman" w:hAnsi="inherit" w:cs="Times New Roman"/>
          <w:b/>
          <w:bCs/>
          <w:color w:val="314D55"/>
          <w:sz w:val="23"/>
          <w:szCs w:val="23"/>
          <w:bdr w:val="none" w:sz="0" w:space="0" w:color="auto" w:frame="1"/>
          <w:lang w:eastAsia="es-AR"/>
        </w:rPr>
        <w:t xml:space="preserve"> </w:t>
      </w:r>
      <w:proofErr w:type="gramStart"/>
      <w:r w:rsidRPr="00C42B24">
        <w:rPr>
          <w:rFonts w:ascii="inherit" w:eastAsia="Times New Roman" w:hAnsi="inherit" w:cs="Times New Roman"/>
          <w:b/>
          <w:bCs/>
          <w:color w:val="314D55"/>
          <w:sz w:val="23"/>
          <w:szCs w:val="23"/>
          <w:bdr w:val="none" w:sz="0" w:space="0" w:color="auto" w:frame="1"/>
          <w:lang w:eastAsia="es-AR"/>
        </w:rPr>
        <w:t>de</w:t>
      </w:r>
      <w:proofErr w:type="gramEnd"/>
      <w:r w:rsidRPr="00C42B24">
        <w:rPr>
          <w:rFonts w:ascii="inherit" w:eastAsia="Times New Roman" w:hAnsi="inherit" w:cs="Times New Roman"/>
          <w:b/>
          <w:bCs/>
          <w:color w:val="314D55"/>
          <w:sz w:val="23"/>
          <w:szCs w:val="23"/>
          <w:bdr w:val="none" w:sz="0" w:space="0" w:color="auto" w:frame="1"/>
          <w:lang w:eastAsia="es-AR"/>
        </w:rPr>
        <w:t xml:space="preserve"> flujo de nueva generación.</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Century Gothic" w:eastAsia="Times New Roman" w:hAnsi="Century Gothic" w:cs="Times New Roman"/>
          <w:color w:val="314D55"/>
          <w:sz w:val="23"/>
          <w:szCs w:val="23"/>
          <w:lang w:eastAsia="es-AR"/>
        </w:rPr>
        <w:t>Esta innovadora tecnología ya está siendo evaluada en hospitales públicos y privados en Argentina para atención de pacientes. Esta técnica está transformando la forma en que se procesan las muestras biológicas, permitiendo </w:t>
      </w:r>
      <w:r w:rsidRPr="00C42B24">
        <w:rPr>
          <w:rFonts w:ascii="inherit" w:eastAsia="Times New Roman" w:hAnsi="inherit" w:cs="Times New Roman"/>
          <w:b/>
          <w:bCs/>
          <w:color w:val="314D55"/>
          <w:sz w:val="23"/>
          <w:szCs w:val="23"/>
          <w:bdr w:val="none" w:sz="0" w:space="0" w:color="auto" w:frame="1"/>
          <w:lang w:eastAsia="es-AR"/>
        </w:rPr>
        <w:t>diagnósticos más rápidos</w:t>
      </w:r>
      <w:r w:rsidRPr="00C42B24">
        <w:rPr>
          <w:rFonts w:ascii="Century Gothic" w:eastAsia="Times New Roman" w:hAnsi="Century Gothic" w:cs="Times New Roman"/>
          <w:color w:val="314D55"/>
          <w:sz w:val="23"/>
          <w:szCs w:val="23"/>
          <w:lang w:eastAsia="es-AR"/>
        </w:rPr>
        <w:t>, </w:t>
      </w:r>
      <w:r w:rsidRPr="00C42B24">
        <w:rPr>
          <w:rFonts w:ascii="inherit" w:eastAsia="Times New Roman" w:hAnsi="inherit" w:cs="Times New Roman"/>
          <w:b/>
          <w:bCs/>
          <w:color w:val="314D55"/>
          <w:sz w:val="23"/>
          <w:szCs w:val="23"/>
          <w:bdr w:val="none" w:sz="0" w:space="0" w:color="auto" w:frame="1"/>
          <w:lang w:eastAsia="es-AR"/>
        </w:rPr>
        <w:t>precisos</w:t>
      </w:r>
      <w:r w:rsidRPr="00C42B24">
        <w:rPr>
          <w:rFonts w:ascii="Century Gothic" w:eastAsia="Times New Roman" w:hAnsi="Century Gothic" w:cs="Times New Roman"/>
          <w:color w:val="314D55"/>
          <w:sz w:val="23"/>
          <w:szCs w:val="23"/>
          <w:lang w:eastAsia="es-AR"/>
        </w:rPr>
        <w:t> y con un</w:t>
      </w:r>
      <w:r w:rsidRPr="00C42B24">
        <w:rPr>
          <w:rFonts w:ascii="inherit" w:eastAsia="Times New Roman" w:hAnsi="inherit" w:cs="Times New Roman"/>
          <w:b/>
          <w:bCs/>
          <w:color w:val="314D55"/>
          <w:sz w:val="23"/>
          <w:szCs w:val="23"/>
          <w:bdr w:val="none" w:sz="0" w:space="0" w:color="auto" w:frame="1"/>
          <w:lang w:eastAsia="es-AR"/>
        </w:rPr>
        <w:t> nivel de sensibilidad sin precedentes</w:t>
      </w:r>
      <w:r w:rsidRPr="00C42B24">
        <w:rPr>
          <w:rFonts w:ascii="Century Gothic" w:eastAsia="Times New Roman" w:hAnsi="Century Gothic" w:cs="Times New Roman"/>
          <w:color w:val="314D55"/>
          <w:sz w:val="23"/>
          <w:szCs w:val="23"/>
          <w:lang w:eastAsia="es-AR"/>
        </w:rPr>
        <w:t xml:space="preserve"> en enfermedades </w:t>
      </w:r>
      <w:proofErr w:type="spellStart"/>
      <w:r w:rsidRPr="00C42B24">
        <w:rPr>
          <w:rFonts w:ascii="Century Gothic" w:eastAsia="Times New Roman" w:hAnsi="Century Gothic" w:cs="Times New Roman"/>
          <w:color w:val="314D55"/>
          <w:sz w:val="23"/>
          <w:szCs w:val="23"/>
          <w:lang w:eastAsia="es-AR"/>
        </w:rPr>
        <w:t>oncohematológicas</w:t>
      </w:r>
      <w:proofErr w:type="spellEnd"/>
      <w:r w:rsidRPr="00C42B24">
        <w:rPr>
          <w:rFonts w:ascii="Century Gothic" w:eastAsia="Times New Roman" w:hAnsi="Century Gothic" w:cs="Times New Roman"/>
          <w:color w:val="314D55"/>
          <w:sz w:val="23"/>
          <w:szCs w:val="23"/>
          <w:lang w:eastAsia="es-AR"/>
        </w:rPr>
        <w:t>.</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Century Gothic" w:eastAsia="Times New Roman" w:hAnsi="Century Gothic" w:cs="Times New Roman"/>
          <w:color w:val="314D55"/>
          <w:sz w:val="23"/>
          <w:szCs w:val="23"/>
          <w:lang w:eastAsia="es-AR"/>
        </w:rPr>
        <w:t xml:space="preserve">A diferencia de las técnicas tradicionales, la </w:t>
      </w:r>
      <w:proofErr w:type="spellStart"/>
      <w:r w:rsidRPr="00C42B24">
        <w:rPr>
          <w:rFonts w:ascii="Century Gothic" w:eastAsia="Times New Roman" w:hAnsi="Century Gothic" w:cs="Times New Roman"/>
          <w:color w:val="314D55"/>
          <w:sz w:val="23"/>
          <w:szCs w:val="23"/>
          <w:lang w:eastAsia="es-AR"/>
        </w:rPr>
        <w:t>citometría</w:t>
      </w:r>
      <w:proofErr w:type="spellEnd"/>
      <w:r w:rsidRPr="00C42B24">
        <w:rPr>
          <w:rFonts w:ascii="Century Gothic" w:eastAsia="Times New Roman" w:hAnsi="Century Gothic" w:cs="Times New Roman"/>
          <w:color w:val="314D55"/>
          <w:sz w:val="23"/>
          <w:szCs w:val="23"/>
          <w:lang w:eastAsia="es-AR"/>
        </w:rPr>
        <w:t xml:space="preserve"> de flujo es capaz de </w:t>
      </w:r>
      <w:r w:rsidRPr="00C42B24">
        <w:rPr>
          <w:rFonts w:ascii="inherit" w:eastAsia="Times New Roman" w:hAnsi="inherit" w:cs="Times New Roman"/>
          <w:b/>
          <w:bCs/>
          <w:color w:val="314D55"/>
          <w:sz w:val="23"/>
          <w:szCs w:val="23"/>
          <w:bdr w:val="none" w:sz="0" w:space="0" w:color="auto" w:frame="1"/>
          <w:lang w:eastAsia="es-AR"/>
        </w:rPr>
        <w:t>analizar simultáneamente múltiples parámetros celulares a una velocidad y resolución que hasta hace pocos años parecía imposible.</w:t>
      </w:r>
      <w:r w:rsidRPr="00C42B24">
        <w:rPr>
          <w:rFonts w:ascii="Century Gothic" w:eastAsia="Times New Roman" w:hAnsi="Century Gothic" w:cs="Times New Roman"/>
          <w:color w:val="314D55"/>
          <w:sz w:val="23"/>
          <w:szCs w:val="23"/>
          <w:lang w:eastAsia="es-AR"/>
        </w:rPr>
        <w:t> Gracias a la avanzada automatización, sensibilidad y precisión, los laboratorios ahora pueden </w:t>
      </w:r>
      <w:r w:rsidRPr="00C42B24">
        <w:rPr>
          <w:rFonts w:ascii="inherit" w:eastAsia="Times New Roman" w:hAnsi="inherit" w:cs="Times New Roman"/>
          <w:b/>
          <w:bCs/>
          <w:color w:val="314D55"/>
          <w:sz w:val="23"/>
          <w:szCs w:val="23"/>
          <w:bdr w:val="none" w:sz="0" w:space="0" w:color="auto" w:frame="1"/>
          <w:lang w:eastAsia="es-AR"/>
        </w:rPr>
        <w:t>detectar alteraciones mínimas en células y tejidos,</w:t>
      </w:r>
      <w:r w:rsidRPr="00C42B24">
        <w:rPr>
          <w:rFonts w:ascii="Century Gothic" w:eastAsia="Times New Roman" w:hAnsi="Century Gothic" w:cs="Times New Roman"/>
          <w:color w:val="314D55"/>
          <w:sz w:val="23"/>
          <w:szCs w:val="23"/>
          <w:lang w:eastAsia="es-AR"/>
        </w:rPr>
        <w:t> lo que se traduce en diagnósticos más oportunos y tratamientos más eficaces.</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Century Gothic" w:eastAsia="Times New Roman" w:hAnsi="Century Gothic" w:cs="Times New Roman"/>
          <w:color w:val="314D55"/>
          <w:sz w:val="23"/>
          <w:szCs w:val="23"/>
          <w:lang w:eastAsia="es-AR"/>
        </w:rPr>
        <w:t xml:space="preserve">En Argentina algunos de los centros de salud que han implementado sistemas de </w:t>
      </w:r>
      <w:proofErr w:type="spellStart"/>
      <w:r w:rsidRPr="00C42B24">
        <w:rPr>
          <w:rFonts w:ascii="Century Gothic" w:eastAsia="Times New Roman" w:hAnsi="Century Gothic" w:cs="Times New Roman"/>
          <w:color w:val="314D55"/>
          <w:sz w:val="23"/>
          <w:szCs w:val="23"/>
          <w:lang w:eastAsia="es-AR"/>
        </w:rPr>
        <w:t>citometría</w:t>
      </w:r>
      <w:proofErr w:type="spellEnd"/>
      <w:r w:rsidRPr="00C42B24">
        <w:rPr>
          <w:rFonts w:ascii="Century Gothic" w:eastAsia="Times New Roman" w:hAnsi="Century Gothic" w:cs="Times New Roman"/>
          <w:color w:val="314D55"/>
          <w:sz w:val="23"/>
          <w:szCs w:val="23"/>
          <w:lang w:eastAsia="es-AR"/>
        </w:rPr>
        <w:t xml:space="preserve"> de flujo de nueva generación son el </w:t>
      </w:r>
      <w:r w:rsidRPr="00C42B24">
        <w:rPr>
          <w:rFonts w:ascii="inherit" w:eastAsia="Times New Roman" w:hAnsi="inherit" w:cs="Times New Roman"/>
          <w:b/>
          <w:bCs/>
          <w:color w:val="314D55"/>
          <w:sz w:val="23"/>
          <w:szCs w:val="23"/>
          <w:bdr w:val="none" w:sz="0" w:space="0" w:color="auto" w:frame="1"/>
          <w:lang w:eastAsia="es-AR"/>
        </w:rPr>
        <w:t>Hospital de Alta Complejidad en Red El Cruce</w:t>
      </w:r>
      <w:r w:rsidRPr="00C42B24">
        <w:rPr>
          <w:rFonts w:ascii="Century Gothic" w:eastAsia="Times New Roman" w:hAnsi="Century Gothic" w:cs="Times New Roman"/>
          <w:color w:val="314D55"/>
          <w:sz w:val="23"/>
          <w:szCs w:val="23"/>
          <w:lang w:eastAsia="es-AR"/>
        </w:rPr>
        <w:t>, el </w:t>
      </w:r>
      <w:r w:rsidRPr="00C42B24">
        <w:rPr>
          <w:rFonts w:ascii="inherit" w:eastAsia="Times New Roman" w:hAnsi="inherit" w:cs="Times New Roman"/>
          <w:b/>
          <w:bCs/>
          <w:color w:val="314D55"/>
          <w:sz w:val="23"/>
          <w:szCs w:val="23"/>
          <w:bdr w:val="none" w:sz="0" w:space="0" w:color="auto" w:frame="1"/>
          <w:lang w:eastAsia="es-AR"/>
        </w:rPr>
        <w:t>Hospital Privado Universitario de Córdoba</w:t>
      </w:r>
      <w:r w:rsidRPr="00C42B24">
        <w:rPr>
          <w:rFonts w:ascii="Century Gothic" w:eastAsia="Times New Roman" w:hAnsi="Century Gothic" w:cs="Times New Roman"/>
          <w:color w:val="314D55"/>
          <w:sz w:val="23"/>
          <w:szCs w:val="23"/>
          <w:lang w:eastAsia="es-AR"/>
        </w:rPr>
        <w:t>, entre otros.</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Century Gothic" w:eastAsia="Times New Roman" w:hAnsi="Century Gothic" w:cs="Times New Roman"/>
          <w:color w:val="314D55"/>
          <w:sz w:val="23"/>
          <w:szCs w:val="23"/>
          <w:lang w:eastAsia="es-AR"/>
        </w:rPr>
        <w:t xml:space="preserve">La </w:t>
      </w:r>
      <w:proofErr w:type="spellStart"/>
      <w:r w:rsidRPr="00C42B24">
        <w:rPr>
          <w:rFonts w:ascii="Century Gothic" w:eastAsia="Times New Roman" w:hAnsi="Century Gothic" w:cs="Times New Roman"/>
          <w:color w:val="314D55"/>
          <w:sz w:val="23"/>
          <w:szCs w:val="23"/>
          <w:lang w:eastAsia="es-AR"/>
        </w:rPr>
        <w:t>citometría</w:t>
      </w:r>
      <w:proofErr w:type="spellEnd"/>
      <w:r w:rsidRPr="00C42B24">
        <w:rPr>
          <w:rFonts w:ascii="Century Gothic" w:eastAsia="Times New Roman" w:hAnsi="Century Gothic" w:cs="Times New Roman"/>
          <w:color w:val="314D55"/>
          <w:sz w:val="23"/>
          <w:szCs w:val="23"/>
          <w:lang w:eastAsia="es-AR"/>
        </w:rPr>
        <w:t xml:space="preserve"> de flujo ha encontrado amplia utilidad en ciencias como la </w:t>
      </w:r>
      <w:r w:rsidRPr="00C42B24">
        <w:rPr>
          <w:rFonts w:ascii="inherit" w:eastAsia="Times New Roman" w:hAnsi="inherit" w:cs="Times New Roman"/>
          <w:b/>
          <w:bCs/>
          <w:color w:val="314D55"/>
          <w:sz w:val="23"/>
          <w:szCs w:val="23"/>
          <w:bdr w:val="none" w:sz="0" w:space="0" w:color="auto" w:frame="1"/>
          <w:lang w:eastAsia="es-AR"/>
        </w:rPr>
        <w:t>inmunología</w:t>
      </w:r>
      <w:r w:rsidRPr="00C42B24">
        <w:rPr>
          <w:rFonts w:ascii="Century Gothic" w:eastAsia="Times New Roman" w:hAnsi="Century Gothic" w:cs="Times New Roman"/>
          <w:color w:val="314D55"/>
          <w:sz w:val="23"/>
          <w:szCs w:val="23"/>
          <w:lang w:eastAsia="es-AR"/>
        </w:rPr>
        <w:t>, </w:t>
      </w:r>
      <w:r w:rsidRPr="00C42B24">
        <w:rPr>
          <w:rFonts w:ascii="inherit" w:eastAsia="Times New Roman" w:hAnsi="inherit" w:cs="Times New Roman"/>
          <w:b/>
          <w:bCs/>
          <w:color w:val="314D55"/>
          <w:sz w:val="23"/>
          <w:szCs w:val="23"/>
          <w:bdr w:val="none" w:sz="0" w:space="0" w:color="auto" w:frame="1"/>
          <w:lang w:eastAsia="es-AR"/>
        </w:rPr>
        <w:t>hematología</w:t>
      </w:r>
      <w:r w:rsidRPr="00C42B24">
        <w:rPr>
          <w:rFonts w:ascii="Century Gothic" w:eastAsia="Times New Roman" w:hAnsi="Century Gothic" w:cs="Times New Roman"/>
          <w:color w:val="314D55"/>
          <w:sz w:val="23"/>
          <w:szCs w:val="23"/>
          <w:lang w:eastAsia="es-AR"/>
        </w:rPr>
        <w:t>, </w:t>
      </w:r>
      <w:r w:rsidRPr="00C42B24">
        <w:rPr>
          <w:rFonts w:ascii="inherit" w:eastAsia="Times New Roman" w:hAnsi="inherit" w:cs="Times New Roman"/>
          <w:b/>
          <w:bCs/>
          <w:color w:val="314D55"/>
          <w:sz w:val="23"/>
          <w:szCs w:val="23"/>
          <w:bdr w:val="none" w:sz="0" w:space="0" w:color="auto" w:frame="1"/>
          <w:lang w:eastAsia="es-AR"/>
        </w:rPr>
        <w:t>oncología</w:t>
      </w:r>
      <w:r w:rsidRPr="00C42B24">
        <w:rPr>
          <w:rFonts w:ascii="Century Gothic" w:eastAsia="Times New Roman" w:hAnsi="Century Gothic" w:cs="Times New Roman"/>
          <w:color w:val="314D55"/>
          <w:sz w:val="23"/>
          <w:szCs w:val="23"/>
          <w:lang w:eastAsia="es-AR"/>
        </w:rPr>
        <w:t> y</w:t>
      </w:r>
      <w:r w:rsidRPr="00C42B24">
        <w:rPr>
          <w:rFonts w:ascii="inherit" w:eastAsia="Times New Roman" w:hAnsi="inherit" w:cs="Times New Roman"/>
          <w:b/>
          <w:bCs/>
          <w:color w:val="314D55"/>
          <w:sz w:val="23"/>
          <w:szCs w:val="23"/>
          <w:bdr w:val="none" w:sz="0" w:space="0" w:color="auto" w:frame="1"/>
          <w:lang w:eastAsia="es-AR"/>
        </w:rPr>
        <w:t> biología celular</w:t>
      </w:r>
      <w:r w:rsidRPr="00C42B24">
        <w:rPr>
          <w:rFonts w:ascii="Century Gothic" w:eastAsia="Times New Roman" w:hAnsi="Century Gothic" w:cs="Times New Roman"/>
          <w:color w:val="314D55"/>
          <w:sz w:val="23"/>
          <w:szCs w:val="23"/>
          <w:lang w:eastAsia="es-AR"/>
        </w:rPr>
        <w:t> ya que ayuda a precisar el diagnóstico de enfermedades como</w:t>
      </w:r>
      <w:r w:rsidRPr="00C42B24">
        <w:rPr>
          <w:rFonts w:ascii="inherit" w:eastAsia="Times New Roman" w:hAnsi="inherit" w:cs="Times New Roman"/>
          <w:b/>
          <w:bCs/>
          <w:color w:val="314D55"/>
          <w:sz w:val="23"/>
          <w:szCs w:val="23"/>
          <w:bdr w:val="none" w:sz="0" w:space="0" w:color="auto" w:frame="1"/>
          <w:lang w:eastAsia="es-AR"/>
        </w:rPr>
        <w:t xml:space="preserve"> linfomas, </w:t>
      </w:r>
      <w:proofErr w:type="spellStart"/>
      <w:r w:rsidRPr="00C42B24">
        <w:rPr>
          <w:rFonts w:ascii="inherit" w:eastAsia="Times New Roman" w:hAnsi="inherit" w:cs="Times New Roman"/>
          <w:b/>
          <w:bCs/>
          <w:color w:val="314D55"/>
          <w:sz w:val="23"/>
          <w:szCs w:val="23"/>
          <w:bdr w:val="none" w:sz="0" w:space="0" w:color="auto" w:frame="1"/>
          <w:lang w:eastAsia="es-AR"/>
        </w:rPr>
        <w:t>mielodisplasias</w:t>
      </w:r>
      <w:proofErr w:type="spellEnd"/>
      <w:r w:rsidRPr="00C42B24">
        <w:rPr>
          <w:rFonts w:ascii="inherit" w:eastAsia="Times New Roman" w:hAnsi="inherit" w:cs="Times New Roman"/>
          <w:b/>
          <w:bCs/>
          <w:color w:val="314D55"/>
          <w:sz w:val="23"/>
          <w:szCs w:val="23"/>
          <w:bdr w:val="none" w:sz="0" w:space="0" w:color="auto" w:frame="1"/>
          <w:lang w:eastAsia="es-AR"/>
        </w:rPr>
        <w:t>, mieloma múltiple</w:t>
      </w:r>
      <w:r w:rsidRPr="00C42B24">
        <w:rPr>
          <w:rFonts w:ascii="Century Gothic" w:eastAsia="Times New Roman" w:hAnsi="Century Gothic" w:cs="Times New Roman"/>
          <w:color w:val="314D55"/>
          <w:sz w:val="23"/>
          <w:szCs w:val="23"/>
          <w:lang w:eastAsia="es-AR"/>
        </w:rPr>
        <w:t>, así como en la caracterización correcta de las leucemias agudas.</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Century Gothic" w:eastAsia="Times New Roman" w:hAnsi="Century Gothic" w:cs="Times New Roman"/>
          <w:color w:val="314D55"/>
          <w:sz w:val="23"/>
          <w:szCs w:val="23"/>
          <w:lang w:eastAsia="es-AR"/>
        </w:rPr>
        <w:t>En el contexto oncológico, esta técnica permite además </w:t>
      </w:r>
      <w:r w:rsidRPr="00C42B24">
        <w:rPr>
          <w:rFonts w:ascii="inherit" w:eastAsia="Times New Roman" w:hAnsi="inherit" w:cs="Times New Roman"/>
          <w:b/>
          <w:bCs/>
          <w:color w:val="314D55"/>
          <w:sz w:val="23"/>
          <w:szCs w:val="23"/>
          <w:bdr w:val="none" w:sz="0" w:space="0" w:color="auto" w:frame="1"/>
          <w:lang w:eastAsia="es-AR"/>
        </w:rPr>
        <w:t>identificar de manera precisa el tipo de cáncer</w:t>
      </w:r>
      <w:r w:rsidRPr="00C42B24">
        <w:rPr>
          <w:rFonts w:ascii="Century Gothic" w:eastAsia="Times New Roman" w:hAnsi="Century Gothic" w:cs="Times New Roman"/>
          <w:color w:val="314D55"/>
          <w:sz w:val="23"/>
          <w:szCs w:val="23"/>
          <w:lang w:eastAsia="es-AR"/>
        </w:rPr>
        <w:t xml:space="preserve">, lo que facilita la selección de tratamientos más dirigidos y personalizados. Su aplicación en el seguimiento de la enfermedad también es relevante, ya que posibilita la detección de </w:t>
      </w:r>
      <w:r w:rsidRPr="00C42B24">
        <w:rPr>
          <w:rFonts w:ascii="Century Gothic" w:eastAsia="Times New Roman" w:hAnsi="Century Gothic" w:cs="Times New Roman"/>
          <w:color w:val="314D55"/>
          <w:sz w:val="23"/>
          <w:szCs w:val="23"/>
          <w:lang w:eastAsia="es-AR"/>
        </w:rPr>
        <w:lastRenderedPageBreak/>
        <w:t>células tumorales residuales en niveles muy bajos—hasta </w:t>
      </w:r>
      <w:r w:rsidRPr="00C42B24">
        <w:rPr>
          <w:rFonts w:ascii="inherit" w:eastAsia="Times New Roman" w:hAnsi="inherit" w:cs="Times New Roman"/>
          <w:b/>
          <w:bCs/>
          <w:color w:val="314D55"/>
          <w:sz w:val="23"/>
          <w:szCs w:val="23"/>
          <w:bdr w:val="none" w:sz="0" w:space="0" w:color="auto" w:frame="1"/>
          <w:lang w:eastAsia="es-AR"/>
        </w:rPr>
        <w:t>una célula maligna entre diez millones de células normales</w:t>
      </w:r>
      <w:r w:rsidRPr="00C42B24">
        <w:rPr>
          <w:rFonts w:ascii="Century Gothic" w:eastAsia="Times New Roman" w:hAnsi="Century Gothic" w:cs="Times New Roman"/>
          <w:color w:val="314D55"/>
          <w:sz w:val="23"/>
          <w:szCs w:val="23"/>
          <w:lang w:eastAsia="es-AR"/>
        </w:rPr>
        <w:t>—, superando la sensibilidad de otros métodos como los estudios radiológicos o microscópicos. Esta capacidad de detección temprana permite ajustar oportunamente la terapia, con un impacto positivo en los pronósticos del paciente.</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inherit" w:eastAsia="Times New Roman" w:hAnsi="inherit" w:cs="Times New Roman"/>
          <w:b/>
          <w:bCs/>
          <w:color w:val="314D55"/>
          <w:sz w:val="23"/>
          <w:szCs w:val="23"/>
          <w:bdr w:val="none" w:sz="0" w:space="0" w:color="auto" w:frame="1"/>
          <w:lang w:eastAsia="es-AR"/>
        </w:rPr>
        <w:t>Colaboraciones tecnológicas para optimizar sistemas de salud</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Century Gothic" w:eastAsia="Times New Roman" w:hAnsi="Century Gothic" w:cs="Times New Roman"/>
          <w:color w:val="314D55"/>
          <w:sz w:val="23"/>
          <w:szCs w:val="23"/>
          <w:lang w:eastAsia="es-AR"/>
        </w:rPr>
        <w:t>La implementación de esta herramienta ha sido posible gracias a la colaboración entre </w:t>
      </w:r>
      <w:r w:rsidRPr="00C42B24">
        <w:rPr>
          <w:rFonts w:ascii="inherit" w:eastAsia="Times New Roman" w:hAnsi="inherit" w:cs="Times New Roman"/>
          <w:b/>
          <w:bCs/>
          <w:color w:val="314D55"/>
          <w:sz w:val="23"/>
          <w:szCs w:val="23"/>
          <w:bdr w:val="none" w:sz="0" w:space="0" w:color="auto" w:frame="1"/>
          <w:lang w:eastAsia="es-AR"/>
        </w:rPr>
        <w:t>instituciones médicas locales</w:t>
      </w:r>
      <w:r w:rsidRPr="00C42B24">
        <w:rPr>
          <w:rFonts w:ascii="Century Gothic" w:eastAsia="Times New Roman" w:hAnsi="Century Gothic" w:cs="Times New Roman"/>
          <w:color w:val="314D55"/>
          <w:sz w:val="23"/>
          <w:szCs w:val="23"/>
          <w:lang w:eastAsia="es-AR"/>
        </w:rPr>
        <w:t> y </w:t>
      </w:r>
      <w:r w:rsidRPr="00C42B24">
        <w:rPr>
          <w:rFonts w:ascii="inherit" w:eastAsia="Times New Roman" w:hAnsi="inherit" w:cs="Times New Roman"/>
          <w:b/>
          <w:bCs/>
          <w:color w:val="314D55"/>
          <w:sz w:val="23"/>
          <w:szCs w:val="23"/>
          <w:bdr w:val="none" w:sz="0" w:space="0" w:color="auto" w:frame="1"/>
          <w:lang w:eastAsia="es-AR"/>
        </w:rPr>
        <w:t>compañías líderes en tecnología médica</w:t>
      </w:r>
      <w:r w:rsidRPr="00C42B24">
        <w:rPr>
          <w:rFonts w:ascii="Century Gothic" w:eastAsia="Times New Roman" w:hAnsi="Century Gothic" w:cs="Times New Roman"/>
          <w:color w:val="314D55"/>
          <w:sz w:val="23"/>
          <w:szCs w:val="23"/>
          <w:lang w:eastAsia="es-AR"/>
        </w:rPr>
        <w:t>, que han capacitado a equipos profesionales para operar estas plataformas de última generación.</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Century Gothic" w:eastAsia="Times New Roman" w:hAnsi="Century Gothic" w:cs="Times New Roman"/>
          <w:color w:val="314D55"/>
          <w:sz w:val="23"/>
          <w:szCs w:val="23"/>
          <w:lang w:eastAsia="es-AR"/>
        </w:rPr>
        <w:t>Un ejemplo de esa colaboración es la creada entre </w:t>
      </w:r>
      <w:proofErr w:type="spellStart"/>
      <w:r w:rsidRPr="00C42B24">
        <w:rPr>
          <w:rFonts w:ascii="inherit" w:eastAsia="Times New Roman" w:hAnsi="inherit" w:cs="Times New Roman"/>
          <w:b/>
          <w:bCs/>
          <w:color w:val="314D55"/>
          <w:sz w:val="23"/>
          <w:szCs w:val="23"/>
          <w:bdr w:val="none" w:sz="0" w:space="0" w:color="auto" w:frame="1"/>
          <w:lang w:eastAsia="es-AR"/>
        </w:rPr>
        <w:t>Becton</w:t>
      </w:r>
      <w:proofErr w:type="spellEnd"/>
      <w:r w:rsidRPr="00C42B24">
        <w:rPr>
          <w:rFonts w:ascii="inherit" w:eastAsia="Times New Roman" w:hAnsi="inherit" w:cs="Times New Roman"/>
          <w:b/>
          <w:bCs/>
          <w:color w:val="314D55"/>
          <w:sz w:val="23"/>
          <w:szCs w:val="23"/>
          <w:bdr w:val="none" w:sz="0" w:space="0" w:color="auto" w:frame="1"/>
          <w:lang w:eastAsia="es-AR"/>
        </w:rPr>
        <w:t xml:space="preserve"> </w:t>
      </w:r>
      <w:proofErr w:type="spellStart"/>
      <w:r w:rsidRPr="00C42B24">
        <w:rPr>
          <w:rFonts w:ascii="inherit" w:eastAsia="Times New Roman" w:hAnsi="inherit" w:cs="Times New Roman"/>
          <w:b/>
          <w:bCs/>
          <w:color w:val="314D55"/>
          <w:sz w:val="23"/>
          <w:szCs w:val="23"/>
          <w:bdr w:val="none" w:sz="0" w:space="0" w:color="auto" w:frame="1"/>
          <w:lang w:eastAsia="es-AR"/>
        </w:rPr>
        <w:t>Dickinson</w:t>
      </w:r>
      <w:proofErr w:type="spellEnd"/>
      <w:r w:rsidRPr="00C42B24">
        <w:rPr>
          <w:rFonts w:ascii="inherit" w:eastAsia="Times New Roman" w:hAnsi="inherit" w:cs="Times New Roman"/>
          <w:b/>
          <w:bCs/>
          <w:color w:val="314D55"/>
          <w:sz w:val="23"/>
          <w:szCs w:val="23"/>
          <w:bdr w:val="none" w:sz="0" w:space="0" w:color="auto" w:frame="1"/>
          <w:lang w:eastAsia="es-AR"/>
        </w:rPr>
        <w:t> </w:t>
      </w:r>
      <w:r w:rsidRPr="00C42B24">
        <w:rPr>
          <w:rFonts w:ascii="Century Gothic" w:eastAsia="Times New Roman" w:hAnsi="Century Gothic" w:cs="Times New Roman"/>
          <w:color w:val="314D55"/>
          <w:sz w:val="23"/>
          <w:szCs w:val="23"/>
          <w:lang w:eastAsia="es-AR"/>
        </w:rPr>
        <w:t>(</w:t>
      </w:r>
      <w:r w:rsidRPr="00C42B24">
        <w:rPr>
          <w:rFonts w:ascii="inherit" w:eastAsia="Times New Roman" w:hAnsi="inherit" w:cs="Times New Roman"/>
          <w:b/>
          <w:bCs/>
          <w:color w:val="314D55"/>
          <w:sz w:val="23"/>
          <w:szCs w:val="23"/>
          <w:bdr w:val="none" w:sz="0" w:space="0" w:color="auto" w:frame="1"/>
          <w:lang w:eastAsia="es-AR"/>
        </w:rPr>
        <w:t>BD</w:t>
      </w:r>
      <w:r w:rsidRPr="00C42B24">
        <w:rPr>
          <w:rFonts w:ascii="Century Gothic" w:eastAsia="Times New Roman" w:hAnsi="Century Gothic" w:cs="Times New Roman"/>
          <w:color w:val="314D55"/>
          <w:sz w:val="23"/>
          <w:szCs w:val="23"/>
          <w:lang w:eastAsia="es-AR"/>
        </w:rPr>
        <w:t>) líder mundial en desarrollo de tecnología médica con presencia en Cono Sur, junto con </w:t>
      </w:r>
      <w:proofErr w:type="spellStart"/>
      <w:r w:rsidRPr="00C42B24">
        <w:rPr>
          <w:rFonts w:ascii="inherit" w:eastAsia="Times New Roman" w:hAnsi="inherit" w:cs="Times New Roman"/>
          <w:b/>
          <w:bCs/>
          <w:color w:val="314D55"/>
          <w:sz w:val="23"/>
          <w:szCs w:val="23"/>
          <w:bdr w:val="none" w:sz="0" w:space="0" w:color="auto" w:frame="1"/>
          <w:lang w:eastAsia="es-AR"/>
        </w:rPr>
        <w:t>EuroFlow</w:t>
      </w:r>
      <w:proofErr w:type="spellEnd"/>
      <w:r w:rsidRPr="00C42B24">
        <w:rPr>
          <w:rFonts w:ascii="inherit" w:eastAsia="Times New Roman" w:hAnsi="inherit" w:cs="Times New Roman"/>
          <w:b/>
          <w:bCs/>
          <w:color w:val="314D55"/>
          <w:sz w:val="23"/>
          <w:szCs w:val="23"/>
          <w:bdr w:val="none" w:sz="0" w:space="0" w:color="auto" w:frame="1"/>
          <w:lang w:eastAsia="es-AR"/>
        </w:rPr>
        <w:t>,</w:t>
      </w:r>
      <w:r w:rsidRPr="00C42B24">
        <w:rPr>
          <w:rFonts w:ascii="Century Gothic" w:eastAsia="Times New Roman" w:hAnsi="Century Gothic" w:cs="Times New Roman"/>
          <w:color w:val="314D55"/>
          <w:sz w:val="23"/>
          <w:szCs w:val="23"/>
          <w:lang w:eastAsia="es-AR"/>
        </w:rPr>
        <w:t xml:space="preserve"> consorcio internacional de investigación que se ha dedicado a estandarizar y validar pruebas de </w:t>
      </w:r>
      <w:proofErr w:type="spellStart"/>
      <w:r w:rsidRPr="00C42B24">
        <w:rPr>
          <w:rFonts w:ascii="Century Gothic" w:eastAsia="Times New Roman" w:hAnsi="Century Gothic" w:cs="Times New Roman"/>
          <w:color w:val="314D55"/>
          <w:sz w:val="23"/>
          <w:szCs w:val="23"/>
          <w:lang w:eastAsia="es-AR"/>
        </w:rPr>
        <w:t>citometría</w:t>
      </w:r>
      <w:proofErr w:type="spellEnd"/>
      <w:r w:rsidRPr="00C42B24">
        <w:rPr>
          <w:rFonts w:ascii="Century Gothic" w:eastAsia="Times New Roman" w:hAnsi="Century Gothic" w:cs="Times New Roman"/>
          <w:color w:val="314D55"/>
          <w:sz w:val="23"/>
          <w:szCs w:val="23"/>
          <w:lang w:eastAsia="es-AR"/>
        </w:rPr>
        <w:t xml:space="preserve"> de flujo para el diagnóstico y seguimiento de enfermedades </w:t>
      </w:r>
      <w:proofErr w:type="spellStart"/>
      <w:r w:rsidRPr="00C42B24">
        <w:rPr>
          <w:rFonts w:ascii="Century Gothic" w:eastAsia="Times New Roman" w:hAnsi="Century Gothic" w:cs="Times New Roman"/>
          <w:color w:val="314D55"/>
          <w:sz w:val="23"/>
          <w:szCs w:val="23"/>
          <w:lang w:eastAsia="es-AR"/>
        </w:rPr>
        <w:t>oncohematológicas</w:t>
      </w:r>
      <w:proofErr w:type="spellEnd"/>
      <w:r w:rsidRPr="00C42B24">
        <w:rPr>
          <w:rFonts w:ascii="Century Gothic" w:eastAsia="Times New Roman" w:hAnsi="Century Gothic" w:cs="Times New Roman"/>
          <w:color w:val="314D55"/>
          <w:sz w:val="23"/>
          <w:szCs w:val="23"/>
          <w:lang w:eastAsia="es-AR"/>
        </w:rPr>
        <w:t xml:space="preserve">. Recientemente se ha realizado en Chile, un conjunto de talleres que reunió a importantes exponentes del consorcio </w:t>
      </w:r>
      <w:proofErr w:type="spellStart"/>
      <w:r w:rsidRPr="00C42B24">
        <w:rPr>
          <w:rFonts w:ascii="Century Gothic" w:eastAsia="Times New Roman" w:hAnsi="Century Gothic" w:cs="Times New Roman"/>
          <w:color w:val="314D55"/>
          <w:sz w:val="23"/>
          <w:szCs w:val="23"/>
          <w:lang w:eastAsia="es-AR"/>
        </w:rPr>
        <w:t>EuroFlow</w:t>
      </w:r>
      <w:proofErr w:type="spellEnd"/>
      <w:r w:rsidRPr="00C42B24">
        <w:rPr>
          <w:rFonts w:ascii="Century Gothic" w:eastAsia="Times New Roman" w:hAnsi="Century Gothic" w:cs="Times New Roman"/>
          <w:color w:val="314D55"/>
          <w:sz w:val="23"/>
          <w:szCs w:val="23"/>
          <w:lang w:eastAsia="es-AR"/>
        </w:rPr>
        <w:t xml:space="preserve"> con la comunidad médica y científica de</w:t>
      </w:r>
      <w:r w:rsidRPr="00C42B24">
        <w:rPr>
          <w:rFonts w:ascii="inherit" w:eastAsia="Times New Roman" w:hAnsi="inherit" w:cs="Times New Roman"/>
          <w:b/>
          <w:bCs/>
          <w:color w:val="314D55"/>
          <w:sz w:val="23"/>
          <w:szCs w:val="23"/>
          <w:bdr w:val="none" w:sz="0" w:space="0" w:color="auto" w:frame="1"/>
          <w:lang w:eastAsia="es-AR"/>
        </w:rPr>
        <w:t> Argentina, Chile, Uruguay, Paraguay </w:t>
      </w:r>
      <w:r w:rsidRPr="00C42B24">
        <w:rPr>
          <w:rFonts w:ascii="Century Gothic" w:eastAsia="Times New Roman" w:hAnsi="Century Gothic" w:cs="Times New Roman"/>
          <w:color w:val="314D55"/>
          <w:sz w:val="23"/>
          <w:szCs w:val="23"/>
          <w:lang w:eastAsia="es-AR"/>
        </w:rPr>
        <w:t>y </w:t>
      </w:r>
      <w:r w:rsidRPr="00C42B24">
        <w:rPr>
          <w:rFonts w:ascii="inherit" w:eastAsia="Times New Roman" w:hAnsi="inherit" w:cs="Times New Roman"/>
          <w:b/>
          <w:bCs/>
          <w:color w:val="314D55"/>
          <w:sz w:val="23"/>
          <w:szCs w:val="23"/>
          <w:bdr w:val="none" w:sz="0" w:space="0" w:color="auto" w:frame="1"/>
          <w:lang w:eastAsia="es-AR"/>
        </w:rPr>
        <w:t>Bolivia</w:t>
      </w:r>
      <w:r w:rsidRPr="00C42B24">
        <w:rPr>
          <w:rFonts w:ascii="Century Gothic" w:eastAsia="Times New Roman" w:hAnsi="Century Gothic" w:cs="Times New Roman"/>
          <w:color w:val="314D55"/>
          <w:sz w:val="23"/>
          <w:szCs w:val="23"/>
          <w:lang w:eastAsia="es-AR"/>
        </w:rPr>
        <w:t xml:space="preserve">, para acercar las nuevas metodologías ultrasensibles dentro de la </w:t>
      </w:r>
      <w:proofErr w:type="spellStart"/>
      <w:r w:rsidRPr="00C42B24">
        <w:rPr>
          <w:rFonts w:ascii="Century Gothic" w:eastAsia="Times New Roman" w:hAnsi="Century Gothic" w:cs="Times New Roman"/>
          <w:color w:val="314D55"/>
          <w:sz w:val="23"/>
          <w:szCs w:val="23"/>
          <w:lang w:eastAsia="es-AR"/>
        </w:rPr>
        <w:t>citometría</w:t>
      </w:r>
      <w:proofErr w:type="spellEnd"/>
      <w:r w:rsidRPr="00C42B24">
        <w:rPr>
          <w:rFonts w:ascii="Century Gothic" w:eastAsia="Times New Roman" w:hAnsi="Century Gothic" w:cs="Times New Roman"/>
          <w:color w:val="314D55"/>
          <w:sz w:val="23"/>
          <w:szCs w:val="23"/>
          <w:lang w:eastAsia="es-AR"/>
        </w:rPr>
        <w:t xml:space="preserve"> de flujo estandarizada y compartir experiencias en el uso de la tecnología.</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inherit" w:eastAsia="Times New Roman" w:hAnsi="inherit" w:cs="Times New Roman"/>
          <w:i/>
          <w:iCs/>
          <w:color w:val="314D55"/>
          <w:sz w:val="23"/>
          <w:szCs w:val="23"/>
          <w:bdr w:val="none" w:sz="0" w:space="0" w:color="auto" w:frame="1"/>
          <w:lang w:eastAsia="es-AR"/>
        </w:rPr>
        <w:t>Esto es como lo llamábamos antes robotizar. Poner a disposición la estandarización de reactivos, y la inteligencia artificial como ayuda al experto en la interpretación de los resultados. Estas son herramientas desarrolladas de tal forma que hacen que, en cualquier laboratorio, cualquier experto que haga una interpretación tenga una ayuda que es siempre la misma, que le va a decir siempre lo mismo. En esto la industria es primordial porque permite tener acceso a esa tecnología</w:t>
      </w:r>
      <w:r w:rsidRPr="00C42B24">
        <w:rPr>
          <w:rFonts w:ascii="Century Gothic" w:eastAsia="Times New Roman" w:hAnsi="Century Gothic" w:cs="Times New Roman"/>
          <w:color w:val="314D55"/>
          <w:sz w:val="23"/>
          <w:szCs w:val="23"/>
          <w:lang w:eastAsia="es-AR"/>
        </w:rPr>
        <w:t>, explica el</w:t>
      </w:r>
      <w:r w:rsidRPr="00C42B24">
        <w:rPr>
          <w:rFonts w:ascii="inherit" w:eastAsia="Times New Roman" w:hAnsi="inherit" w:cs="Times New Roman"/>
          <w:b/>
          <w:bCs/>
          <w:color w:val="314D55"/>
          <w:sz w:val="23"/>
          <w:szCs w:val="23"/>
          <w:bdr w:val="none" w:sz="0" w:space="0" w:color="auto" w:frame="1"/>
          <w:lang w:eastAsia="es-AR"/>
        </w:rPr>
        <w:t xml:space="preserve"> Dr. Alberto </w:t>
      </w:r>
      <w:proofErr w:type="spellStart"/>
      <w:r w:rsidRPr="00C42B24">
        <w:rPr>
          <w:rFonts w:ascii="inherit" w:eastAsia="Times New Roman" w:hAnsi="inherit" w:cs="Times New Roman"/>
          <w:b/>
          <w:bCs/>
          <w:color w:val="314D55"/>
          <w:sz w:val="23"/>
          <w:szCs w:val="23"/>
          <w:bdr w:val="none" w:sz="0" w:space="0" w:color="auto" w:frame="1"/>
          <w:lang w:eastAsia="es-AR"/>
        </w:rPr>
        <w:t>Orfao</w:t>
      </w:r>
      <w:proofErr w:type="spellEnd"/>
      <w:r w:rsidRPr="00C42B24">
        <w:rPr>
          <w:rFonts w:ascii="Century Gothic" w:eastAsia="Times New Roman" w:hAnsi="Century Gothic" w:cs="Times New Roman"/>
          <w:color w:val="314D55"/>
          <w:sz w:val="23"/>
          <w:szCs w:val="23"/>
          <w:lang w:eastAsia="es-AR"/>
        </w:rPr>
        <w:t xml:space="preserve"> , profesor catedrático de la Universidad de Salamanca, del Departamento de Medicina, y coordinador del Consorcio </w:t>
      </w:r>
      <w:proofErr w:type="spellStart"/>
      <w:r w:rsidRPr="00C42B24">
        <w:rPr>
          <w:rFonts w:ascii="Century Gothic" w:eastAsia="Times New Roman" w:hAnsi="Century Gothic" w:cs="Times New Roman"/>
          <w:color w:val="314D55"/>
          <w:sz w:val="23"/>
          <w:szCs w:val="23"/>
          <w:lang w:eastAsia="es-AR"/>
        </w:rPr>
        <w:t>EuroFlow</w:t>
      </w:r>
      <w:proofErr w:type="spellEnd"/>
      <w:r w:rsidRPr="00C42B24">
        <w:rPr>
          <w:rFonts w:ascii="Century Gothic" w:eastAsia="Times New Roman" w:hAnsi="Century Gothic" w:cs="Times New Roman"/>
          <w:color w:val="314D55"/>
          <w:sz w:val="23"/>
          <w:szCs w:val="23"/>
          <w:lang w:eastAsia="es-AR"/>
        </w:rPr>
        <w:t xml:space="preserve"> que desarrolló dichas herramientas en todo el mundo.</w:t>
      </w:r>
    </w:p>
    <w:p w:rsidR="00C42B24" w:rsidRPr="00C42B24" w:rsidRDefault="00C42B24" w:rsidP="00C42B24">
      <w:pPr>
        <w:shd w:val="clear" w:color="auto" w:fill="FFFFFF"/>
        <w:spacing w:before="150" w:after="0" w:line="293" w:lineRule="atLeast"/>
        <w:textAlignment w:val="baseline"/>
        <w:rPr>
          <w:rFonts w:ascii="Century Gothic" w:eastAsia="Times New Roman" w:hAnsi="Century Gothic" w:cs="Times New Roman"/>
          <w:color w:val="314D55"/>
          <w:sz w:val="23"/>
          <w:szCs w:val="23"/>
          <w:lang w:eastAsia="es-AR"/>
        </w:rPr>
      </w:pPr>
      <w:r w:rsidRPr="00C42B24">
        <w:rPr>
          <w:rFonts w:ascii="Century Gothic" w:eastAsia="Times New Roman" w:hAnsi="Century Gothic" w:cs="Times New Roman"/>
          <w:color w:val="314D55"/>
          <w:sz w:val="23"/>
          <w:szCs w:val="23"/>
          <w:lang w:eastAsia="es-AR"/>
        </w:rPr>
        <w:t xml:space="preserve">Con resultados que ya muestran beneficios concretos en la atención de pacientes, la </w:t>
      </w:r>
      <w:proofErr w:type="spellStart"/>
      <w:r w:rsidRPr="00C42B24">
        <w:rPr>
          <w:rFonts w:ascii="Century Gothic" w:eastAsia="Times New Roman" w:hAnsi="Century Gothic" w:cs="Times New Roman"/>
          <w:color w:val="314D55"/>
          <w:sz w:val="23"/>
          <w:szCs w:val="23"/>
          <w:lang w:eastAsia="es-AR"/>
        </w:rPr>
        <w:t>citometría</w:t>
      </w:r>
      <w:proofErr w:type="spellEnd"/>
      <w:r w:rsidRPr="00C42B24">
        <w:rPr>
          <w:rFonts w:ascii="Century Gothic" w:eastAsia="Times New Roman" w:hAnsi="Century Gothic" w:cs="Times New Roman"/>
          <w:color w:val="314D55"/>
          <w:sz w:val="23"/>
          <w:szCs w:val="23"/>
          <w:lang w:eastAsia="es-AR"/>
        </w:rPr>
        <w:t xml:space="preserve"> de flujo de nueva generación se proyecta como un pilar fundamental para fortalecer la capacidad de respuesta de los sistemas de salud y transformar el futuro del diagnóstico médico.</w:t>
      </w:r>
    </w:p>
    <w:p w:rsidR="00C42B24" w:rsidRPr="00C42B24" w:rsidRDefault="00C42B24" w:rsidP="00C42B24">
      <w:pPr>
        <w:shd w:val="clear" w:color="auto" w:fill="FFFFFF"/>
        <w:spacing w:after="0" w:line="293" w:lineRule="atLeast"/>
        <w:textAlignment w:val="baseline"/>
        <w:rPr>
          <w:rFonts w:ascii="Century Gothic" w:eastAsia="Times New Roman" w:hAnsi="Century Gothic" w:cs="Times New Roman"/>
          <w:color w:val="314D55"/>
          <w:sz w:val="23"/>
          <w:szCs w:val="23"/>
          <w:lang w:eastAsia="es-AR"/>
        </w:rPr>
      </w:pPr>
      <w:r w:rsidRPr="00C42B24">
        <w:rPr>
          <w:rFonts w:ascii="inherit" w:eastAsia="Times New Roman" w:hAnsi="inherit" w:cs="Times New Roman"/>
          <w:i/>
          <w:iCs/>
          <w:color w:val="314D55"/>
          <w:sz w:val="23"/>
          <w:szCs w:val="23"/>
          <w:bdr w:val="none" w:sz="0" w:space="0" w:color="auto" w:frame="1"/>
          <w:lang w:eastAsia="es-AR"/>
        </w:rPr>
        <w:t xml:space="preserve">Desde la industria de tecnología médica, tenemos la responsabilidad y la oportunidad de colaborar activamente en el fortalecimiento de los sistemas de salud. A través del desarrollo e implementación de nuevas tecnologías, es posible mejorar la capacidad diagnóstica, optimizar los recursos clínicos y ampliar el acceso a una atención. Nuestro compromiso es trabajar en conjunto con distintos actores para impulsar modelos más sostenibles y centrados en las necesidades de los pacientes, así como </w:t>
      </w:r>
      <w:proofErr w:type="spellStart"/>
      <w:r w:rsidRPr="00C42B24">
        <w:rPr>
          <w:rFonts w:ascii="inherit" w:eastAsia="Times New Roman" w:hAnsi="inherit" w:cs="Times New Roman"/>
          <w:i/>
          <w:iCs/>
          <w:color w:val="314D55"/>
          <w:sz w:val="23"/>
          <w:szCs w:val="23"/>
          <w:bdr w:val="none" w:sz="0" w:space="0" w:color="auto" w:frame="1"/>
          <w:lang w:eastAsia="es-AR"/>
        </w:rPr>
        <w:t>acomar</w:t>
      </w:r>
      <w:proofErr w:type="spellEnd"/>
      <w:r w:rsidRPr="00C42B24">
        <w:rPr>
          <w:rFonts w:ascii="inherit" w:eastAsia="Times New Roman" w:hAnsi="inherit" w:cs="Times New Roman"/>
          <w:i/>
          <w:iCs/>
          <w:color w:val="314D55"/>
          <w:sz w:val="23"/>
          <w:szCs w:val="23"/>
          <w:bdr w:val="none" w:sz="0" w:space="0" w:color="auto" w:frame="1"/>
          <w:lang w:eastAsia="es-AR"/>
        </w:rPr>
        <w:t xml:space="preserve"> a los sistemas sanitarios con soluciones que </w:t>
      </w:r>
      <w:proofErr w:type="spellStart"/>
      <w:r w:rsidRPr="00C42B24">
        <w:rPr>
          <w:rFonts w:ascii="inherit" w:eastAsia="Times New Roman" w:hAnsi="inherit" w:cs="Times New Roman"/>
          <w:i/>
          <w:iCs/>
          <w:color w:val="314D55"/>
          <w:sz w:val="23"/>
          <w:szCs w:val="23"/>
          <w:bdr w:val="none" w:sz="0" w:space="0" w:color="auto" w:frame="1"/>
          <w:lang w:eastAsia="es-AR"/>
        </w:rPr>
        <w:t>fortalnen</w:t>
      </w:r>
      <w:proofErr w:type="spellEnd"/>
      <w:r w:rsidRPr="00C42B24">
        <w:rPr>
          <w:rFonts w:ascii="inherit" w:eastAsia="Times New Roman" w:hAnsi="inherit" w:cs="Times New Roman"/>
          <w:i/>
          <w:iCs/>
          <w:color w:val="314D55"/>
          <w:sz w:val="23"/>
          <w:szCs w:val="23"/>
          <w:bdr w:val="none" w:sz="0" w:space="0" w:color="auto" w:frame="1"/>
          <w:lang w:eastAsia="es-AR"/>
        </w:rPr>
        <w:t xml:space="preserve"> su capacidad de respuesta</w:t>
      </w:r>
      <w:r w:rsidRPr="00C42B24">
        <w:rPr>
          <w:rFonts w:ascii="Century Gothic" w:eastAsia="Times New Roman" w:hAnsi="Century Gothic" w:cs="Times New Roman"/>
          <w:color w:val="314D55"/>
          <w:sz w:val="23"/>
          <w:szCs w:val="23"/>
          <w:lang w:eastAsia="es-AR"/>
        </w:rPr>
        <w:t>, afirmó </w:t>
      </w:r>
      <w:r w:rsidRPr="00C42B24">
        <w:rPr>
          <w:rFonts w:ascii="inherit" w:eastAsia="Times New Roman" w:hAnsi="inherit" w:cs="Times New Roman"/>
          <w:b/>
          <w:bCs/>
          <w:color w:val="314D55"/>
          <w:sz w:val="23"/>
          <w:szCs w:val="23"/>
          <w:bdr w:val="none" w:sz="0" w:space="0" w:color="auto" w:frame="1"/>
          <w:lang w:eastAsia="es-AR"/>
        </w:rPr>
        <w:t xml:space="preserve">Marco </w:t>
      </w:r>
      <w:proofErr w:type="spellStart"/>
      <w:r w:rsidRPr="00C42B24">
        <w:rPr>
          <w:rFonts w:ascii="inherit" w:eastAsia="Times New Roman" w:hAnsi="inherit" w:cs="Times New Roman"/>
          <w:b/>
          <w:bCs/>
          <w:color w:val="314D55"/>
          <w:sz w:val="23"/>
          <w:szCs w:val="23"/>
          <w:bdr w:val="none" w:sz="0" w:space="0" w:color="auto" w:frame="1"/>
          <w:lang w:eastAsia="es-AR"/>
        </w:rPr>
        <w:t>Musitano</w:t>
      </w:r>
      <w:proofErr w:type="spellEnd"/>
      <w:r w:rsidRPr="00C42B24">
        <w:rPr>
          <w:rFonts w:ascii="Century Gothic" w:eastAsia="Times New Roman" w:hAnsi="Century Gothic" w:cs="Times New Roman"/>
          <w:color w:val="314D55"/>
          <w:sz w:val="23"/>
          <w:szCs w:val="23"/>
          <w:lang w:eastAsia="es-AR"/>
        </w:rPr>
        <w:t>, gerente general de BD para Cono Sur.</w:t>
      </w:r>
    </w:p>
    <w:p w:rsidR="00157376" w:rsidRDefault="00157376"/>
    <w:sectPr w:rsidR="0015737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Play">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B24"/>
    <w:rsid w:val="00157376"/>
    <w:rsid w:val="00C42B24"/>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42B24"/>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C42B24"/>
    <w:rPr>
      <w:b/>
      <w:bCs/>
    </w:rPr>
  </w:style>
  <w:style w:type="character" w:styleId="nfasis">
    <w:name w:val="Emphasis"/>
    <w:basedOn w:val="Fuentedeprrafopredeter"/>
    <w:uiPriority w:val="20"/>
    <w:qFormat/>
    <w:rsid w:val="00C42B24"/>
    <w:rPr>
      <w:i/>
      <w:iCs/>
    </w:rPr>
  </w:style>
  <w:style w:type="paragraph" w:styleId="Textodeglobo">
    <w:name w:val="Balloon Text"/>
    <w:basedOn w:val="Normal"/>
    <w:link w:val="TextodegloboCar"/>
    <w:uiPriority w:val="99"/>
    <w:semiHidden/>
    <w:unhideWhenUsed/>
    <w:rsid w:val="00C42B2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42B2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C42B24"/>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C42B24"/>
    <w:rPr>
      <w:b/>
      <w:bCs/>
    </w:rPr>
  </w:style>
  <w:style w:type="character" w:styleId="nfasis">
    <w:name w:val="Emphasis"/>
    <w:basedOn w:val="Fuentedeprrafopredeter"/>
    <w:uiPriority w:val="20"/>
    <w:qFormat/>
    <w:rsid w:val="00C42B24"/>
    <w:rPr>
      <w:i/>
      <w:iCs/>
    </w:rPr>
  </w:style>
  <w:style w:type="paragraph" w:styleId="Textodeglobo">
    <w:name w:val="Balloon Text"/>
    <w:basedOn w:val="Normal"/>
    <w:link w:val="TextodegloboCar"/>
    <w:uiPriority w:val="99"/>
    <w:semiHidden/>
    <w:unhideWhenUsed/>
    <w:rsid w:val="00C42B2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42B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7430013">
      <w:bodyDiv w:val="1"/>
      <w:marLeft w:val="0"/>
      <w:marRight w:val="0"/>
      <w:marTop w:val="0"/>
      <w:marBottom w:val="0"/>
      <w:divBdr>
        <w:top w:val="none" w:sz="0" w:space="0" w:color="auto"/>
        <w:left w:val="none" w:sz="0" w:space="0" w:color="auto"/>
        <w:bottom w:val="none" w:sz="0" w:space="0" w:color="auto"/>
        <w:right w:val="none" w:sz="0" w:space="0" w:color="auto"/>
      </w:divBdr>
      <w:divsChild>
        <w:div w:id="1434396879">
          <w:marLeft w:val="0"/>
          <w:marRight w:val="0"/>
          <w:marTop w:val="0"/>
          <w:marBottom w:val="0"/>
          <w:divBdr>
            <w:top w:val="none" w:sz="0" w:space="0" w:color="auto"/>
            <w:left w:val="none" w:sz="0" w:space="0" w:color="auto"/>
            <w:bottom w:val="none" w:sz="0" w:space="0" w:color="auto"/>
            <w:right w:val="none" w:sz="0" w:space="0" w:color="auto"/>
          </w:divBdr>
        </w:div>
        <w:div w:id="589461823">
          <w:marLeft w:val="0"/>
          <w:marRight w:val="0"/>
          <w:marTop w:val="0"/>
          <w:marBottom w:val="0"/>
          <w:divBdr>
            <w:top w:val="none" w:sz="0" w:space="0" w:color="auto"/>
            <w:left w:val="none" w:sz="0" w:space="0" w:color="auto"/>
            <w:bottom w:val="none" w:sz="0" w:space="0" w:color="auto"/>
            <w:right w:val="none" w:sz="0" w:space="0" w:color="auto"/>
          </w:divBdr>
        </w:div>
        <w:div w:id="256330787">
          <w:marLeft w:val="0"/>
          <w:marRight w:val="0"/>
          <w:marTop w:val="0"/>
          <w:marBottom w:val="0"/>
          <w:divBdr>
            <w:top w:val="none" w:sz="0" w:space="0" w:color="auto"/>
            <w:left w:val="none" w:sz="0" w:space="0" w:color="auto"/>
            <w:bottom w:val="none" w:sz="0" w:space="0" w:color="auto"/>
            <w:right w:val="none" w:sz="0" w:space="0" w:color="auto"/>
          </w:divBdr>
        </w:div>
        <w:div w:id="386227671">
          <w:marLeft w:val="0"/>
          <w:marRight w:val="0"/>
          <w:marTop w:val="0"/>
          <w:marBottom w:val="0"/>
          <w:divBdr>
            <w:top w:val="none" w:sz="0" w:space="0" w:color="auto"/>
            <w:left w:val="none" w:sz="0" w:space="0" w:color="auto"/>
            <w:bottom w:val="none" w:sz="0" w:space="0" w:color="auto"/>
            <w:right w:val="none" w:sz="0" w:space="0" w:color="auto"/>
          </w:divBdr>
          <w:divsChild>
            <w:div w:id="102918439">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779</Words>
  <Characters>4288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Natalia Scavino</dc:creator>
  <cp:lastModifiedBy>Natalia Scavino</cp:lastModifiedBy>
  <cp:revision>1</cp:revision>
  <dcterms:created xsi:type="dcterms:W3CDTF">2025-08-14T17:56:00Z</dcterms:created>
  <dcterms:modified xsi:type="dcterms:W3CDTF">2025-08-14T17:58:00Z</dcterms:modified>
</cp:coreProperties>
</file>